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088" w:type="dxa"/>
        <w:tblInd w:w="1928" w:type="dxa"/>
        <w:tblLayout w:type="fixed"/>
        <w:tblLook w:val="01E0"/>
      </w:tblPr>
      <w:tblGrid>
        <w:gridCol w:w="7088"/>
      </w:tblGrid>
      <w:tr w:rsidR="00493377" w:rsidRPr="00A35E66">
        <w:trPr>
          <w:cantSplit/>
          <w:trHeight w:hRule="exact" w:val="6691"/>
        </w:trPr>
        <w:tc>
          <w:tcPr>
            <w:tcW w:w="6804" w:type="dxa"/>
            <w:tcMar>
              <w:left w:w="0" w:type="dxa"/>
              <w:right w:w="0" w:type="dxa"/>
            </w:tcMar>
          </w:tcPr>
          <w:p w:rsidR="00493377" w:rsidRPr="00A35E66" w:rsidRDefault="000F359C">
            <w:pPr>
              <w:pStyle w:val="Title"/>
            </w:pPr>
            <w:r w:rsidRPr="00A35E66">
              <w:t>Special Variation Application Form – Part B</w:t>
            </w:r>
          </w:p>
          <w:p w:rsidR="00493377" w:rsidRPr="00A35E66" w:rsidRDefault="00E3295D" w:rsidP="00466341">
            <w:pPr>
              <w:pStyle w:val="Subtitle"/>
              <w:rPr>
                <w:b w:val="0"/>
              </w:rPr>
            </w:pPr>
            <w:r w:rsidRPr="00A35E66">
              <w:t>Council</w:t>
            </w:r>
            <w:r w:rsidR="000F359C" w:rsidRPr="00A35E66">
              <w:t xml:space="preserve"> application for 201</w:t>
            </w:r>
            <w:r w:rsidR="00466341" w:rsidRPr="00A35E66">
              <w:t>5</w:t>
            </w:r>
            <w:r w:rsidR="000F359C" w:rsidRPr="00A35E66">
              <w:t>/1</w:t>
            </w:r>
            <w:r w:rsidR="00466341" w:rsidRPr="00A35E66">
              <w:t>6</w:t>
            </w:r>
          </w:p>
        </w:tc>
      </w:tr>
      <w:tr w:rsidR="00493377" w:rsidRPr="00A35E66">
        <w:trPr>
          <w:cantSplit/>
          <w:trHeight w:val="5103"/>
        </w:trPr>
        <w:tc>
          <w:tcPr>
            <w:tcW w:w="6804" w:type="dxa"/>
            <w:tcMar>
              <w:left w:w="0" w:type="dxa"/>
              <w:right w:w="0" w:type="dxa"/>
            </w:tcMar>
          </w:tcPr>
          <w:p w:rsidR="000F359C" w:rsidRPr="00A35E66" w:rsidRDefault="00045368">
            <w:pPr>
              <w:pStyle w:val="Report"/>
            </w:pPr>
            <w:r w:rsidRPr="00A35E66">
              <w:t>Insert Name of Council: Marrickville Council</w:t>
            </w:r>
          </w:p>
          <w:p w:rsidR="000F359C" w:rsidRPr="00A35E66" w:rsidRDefault="000F359C">
            <w:pPr>
              <w:pStyle w:val="Report"/>
              <w:rPr>
                <w:b w:val="0"/>
              </w:rPr>
            </w:pPr>
            <w:r w:rsidRPr="00A35E66">
              <w:rPr>
                <w:b w:val="0"/>
              </w:rPr>
              <w:t>Date Submitted to IPART:</w:t>
            </w:r>
            <w:r w:rsidR="00045368" w:rsidRPr="00A35E66">
              <w:rPr>
                <w:b w:val="0"/>
              </w:rPr>
              <w:t xml:space="preserve"> 18 February 2015</w:t>
            </w:r>
          </w:p>
          <w:p w:rsidR="00493377" w:rsidRPr="00A35E66" w:rsidRDefault="000F359C">
            <w:pPr>
              <w:pStyle w:val="Report"/>
              <w:rPr>
                <w:b w:val="0"/>
              </w:rPr>
            </w:pPr>
            <w:r w:rsidRPr="00A35E66">
              <w:rPr>
                <w:b w:val="0"/>
              </w:rPr>
              <w:t>Council Contact Person:</w:t>
            </w:r>
            <w:r w:rsidR="00045368" w:rsidRPr="00A35E66">
              <w:rPr>
                <w:b w:val="0"/>
              </w:rPr>
              <w:t xml:space="preserve"> Steve Kludass</w:t>
            </w:r>
          </w:p>
          <w:p w:rsidR="000F359C" w:rsidRPr="00A35E66" w:rsidRDefault="000F359C" w:rsidP="000F359C">
            <w:pPr>
              <w:pStyle w:val="Report"/>
              <w:rPr>
                <w:b w:val="0"/>
              </w:rPr>
            </w:pPr>
            <w:r w:rsidRPr="00A35E66">
              <w:rPr>
                <w:b w:val="0"/>
              </w:rPr>
              <w:t>Council Contact Phone:</w:t>
            </w:r>
            <w:r w:rsidR="00045368" w:rsidRPr="00A35E66">
              <w:rPr>
                <w:b w:val="0"/>
              </w:rPr>
              <w:t xml:space="preserve"> (02) 9335 2020</w:t>
            </w:r>
          </w:p>
          <w:p w:rsidR="000F359C" w:rsidRPr="00A35E66" w:rsidRDefault="000F359C" w:rsidP="000F359C">
            <w:pPr>
              <w:pStyle w:val="Report"/>
              <w:rPr>
                <w:b w:val="0"/>
              </w:rPr>
            </w:pPr>
            <w:r w:rsidRPr="00A35E66">
              <w:rPr>
                <w:b w:val="0"/>
              </w:rPr>
              <w:t>Council Contact Email:</w:t>
            </w:r>
            <w:r w:rsidR="00045368" w:rsidRPr="00A35E66">
              <w:rPr>
                <w:b w:val="0"/>
              </w:rPr>
              <w:t xml:space="preserve"> steve.kludass@marrickville.nsw.gov.au</w:t>
            </w:r>
          </w:p>
          <w:p w:rsidR="00493377" w:rsidRPr="00A35E66" w:rsidRDefault="00493377">
            <w:pPr>
              <w:pStyle w:val="Date"/>
            </w:pPr>
          </w:p>
        </w:tc>
      </w:tr>
    </w:tbl>
    <w:p w:rsidR="00493377" w:rsidRPr="00A35E66"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Pr="00A35E66" w:rsidRDefault="00BD6C09" w:rsidP="00DF3F01">
      <w:pPr>
        <w:sectPr w:rsidR="00BD6C09" w:rsidRPr="00A35E66" w:rsidSect="005E2D3A">
          <w:headerReference w:type="default" r:id="rId8"/>
          <w:pgSz w:w="11907" w:h="16840" w:code="9"/>
          <w:pgMar w:top="2268" w:right="1701" w:bottom="1418" w:left="1701" w:header="1134" w:footer="284" w:gutter="567"/>
          <w:pgNumType w:fmt="lowerRoman"/>
          <w:cols w:space="708"/>
          <w:docGrid w:linePitch="360"/>
        </w:sectPr>
      </w:pPr>
    </w:p>
    <w:p w:rsidR="00493377" w:rsidRPr="00A35E66" w:rsidRDefault="00493377">
      <w:pPr>
        <w:pStyle w:val="BodytextIPART"/>
        <w:spacing w:before="2600"/>
      </w:pPr>
      <w:r w:rsidRPr="00A35E66">
        <w:lastRenderedPageBreak/>
        <w:t xml:space="preserve">© Independent Pricing and Regulatory Tribunal of New South Wales </w:t>
      </w:r>
      <w:r w:rsidR="000F359C" w:rsidRPr="00A35E66">
        <w:t>2014</w:t>
      </w:r>
    </w:p>
    <w:p w:rsidR="00493377" w:rsidRPr="00A35E66" w:rsidRDefault="00493377">
      <w:pPr>
        <w:pStyle w:val="BodytextIPART"/>
        <w:spacing w:before="80"/>
        <w:rPr>
          <w:spacing w:val="-2"/>
        </w:rPr>
      </w:pPr>
      <w:r w:rsidRPr="00A35E66">
        <w:rPr>
          <w:spacing w:val="-2"/>
        </w:rPr>
        <w:t xml:space="preserve">This work is copyright. The </w:t>
      </w:r>
      <w:r w:rsidRPr="00A35E66">
        <w:rPr>
          <w:i/>
          <w:iCs/>
          <w:spacing w:val="-2"/>
        </w:rPr>
        <w:t>Copyright Act 1968</w:t>
      </w:r>
      <w:r w:rsidRPr="00A35E66">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A35E66" w:rsidRDefault="00493377">
      <w:pPr>
        <w:pStyle w:val="BodytextIPART"/>
      </w:pPr>
      <w:r w:rsidRPr="00A35E66">
        <w:t xml:space="preserve">ISBN </w:t>
      </w:r>
      <w:r w:rsidR="0030767F" w:rsidRPr="00A35E66">
        <w:fldChar w:fldCharType="begin"/>
      </w:r>
      <w:r w:rsidRPr="00A35E66">
        <w:instrText xml:space="preserve"> MACROBUTTON  AcceptAllChangesShown [Click </w:instrText>
      </w:r>
      <w:r w:rsidRPr="00A35E66">
        <w:rPr>
          <w:b/>
        </w:rPr>
        <w:instrText>here</w:instrText>
      </w:r>
      <w:r w:rsidRPr="00A35E66">
        <w:instrText xml:space="preserve"> and type in book number, inserting spaces in correct positions.] </w:instrText>
      </w:r>
      <w:r w:rsidR="0030767F" w:rsidRPr="00A35E66">
        <w:fldChar w:fldCharType="end"/>
      </w:r>
    </w:p>
    <w:p w:rsidR="00493377" w:rsidRPr="00A35E66" w:rsidRDefault="00493377">
      <w:pPr>
        <w:pStyle w:val="BodytextIPART"/>
      </w:pPr>
      <w:r w:rsidRPr="00A35E66">
        <w:t>The Tribunal members for this review are:</w:t>
      </w:r>
    </w:p>
    <w:p w:rsidR="00BC1489" w:rsidRPr="00A35E66" w:rsidRDefault="00311A55">
      <w:pPr>
        <w:pStyle w:val="BodytextIPART"/>
        <w:spacing w:before="80"/>
        <w:ind w:left="284"/>
        <w:rPr>
          <w:lang w:eastAsia="en-US"/>
        </w:rPr>
      </w:pPr>
      <w:r w:rsidRPr="00A35E66">
        <w:rPr>
          <w:lang w:eastAsia="en-US"/>
        </w:rPr>
        <w:t>D</w:t>
      </w:r>
      <w:r w:rsidR="00BC1489" w:rsidRPr="00A35E66">
        <w:rPr>
          <w:lang w:eastAsia="en-US"/>
        </w:rPr>
        <w:t xml:space="preserve">r </w:t>
      </w:r>
      <w:r w:rsidR="00800E5E" w:rsidRPr="00A35E66">
        <w:rPr>
          <w:lang w:eastAsia="en-US"/>
        </w:rPr>
        <w:t xml:space="preserve">Peter </w:t>
      </w:r>
      <w:r w:rsidR="005463BB" w:rsidRPr="00A35E66">
        <w:rPr>
          <w:lang w:eastAsia="en-US"/>
        </w:rPr>
        <w:t>J</w:t>
      </w:r>
      <w:r w:rsidR="007B447B" w:rsidRPr="00A35E66">
        <w:rPr>
          <w:lang w:eastAsia="en-US"/>
        </w:rPr>
        <w:t>.</w:t>
      </w:r>
      <w:r w:rsidR="005463BB" w:rsidRPr="00A35E66">
        <w:rPr>
          <w:lang w:eastAsia="en-US"/>
        </w:rPr>
        <w:t xml:space="preserve"> </w:t>
      </w:r>
      <w:proofErr w:type="spellStart"/>
      <w:r w:rsidR="00800E5E" w:rsidRPr="00A35E66">
        <w:rPr>
          <w:lang w:eastAsia="en-US"/>
        </w:rPr>
        <w:t>Boxall</w:t>
      </w:r>
      <w:proofErr w:type="spellEnd"/>
      <w:r w:rsidR="00800E5E" w:rsidRPr="00A35E66">
        <w:rPr>
          <w:lang w:eastAsia="en-US"/>
        </w:rPr>
        <w:t xml:space="preserve"> AO</w:t>
      </w:r>
      <w:r w:rsidR="00BC1489" w:rsidRPr="00A35E66">
        <w:rPr>
          <w:lang w:eastAsia="en-US"/>
        </w:rPr>
        <w:t>, Chairman</w:t>
      </w:r>
    </w:p>
    <w:p w:rsidR="00493377" w:rsidRPr="00A35E66" w:rsidRDefault="00862B00">
      <w:pPr>
        <w:pStyle w:val="BodytextIPART"/>
        <w:spacing w:before="80"/>
        <w:ind w:left="284"/>
        <w:rPr>
          <w:lang w:eastAsia="en-US"/>
        </w:rPr>
      </w:pPr>
      <w:r w:rsidRPr="00A35E66">
        <w:rPr>
          <w:lang w:eastAsia="en-US"/>
        </w:rPr>
        <w:t>Ms Catherine Jones</w:t>
      </w:r>
    </w:p>
    <w:p w:rsidR="00493377" w:rsidRPr="00A35E66" w:rsidRDefault="00493377">
      <w:pPr>
        <w:pStyle w:val="BodytextIPART"/>
      </w:pPr>
      <w:r w:rsidRPr="00A35E66">
        <w:t>Inquiries regarding this document should be directed to a staff member:</w:t>
      </w:r>
    </w:p>
    <w:p w:rsidR="00493377" w:rsidRPr="00A35E66" w:rsidRDefault="007B447B" w:rsidP="00BB3C37">
      <w:pPr>
        <w:pStyle w:val="BodytextIPART"/>
        <w:tabs>
          <w:tab w:val="left" w:pos="3119"/>
        </w:tabs>
        <w:spacing w:before="80"/>
        <w:ind w:left="284"/>
      </w:pPr>
      <w:r w:rsidRPr="00A35E66">
        <w:t>Michael Seery</w:t>
      </w:r>
      <w:r w:rsidR="00493377" w:rsidRPr="00A35E66">
        <w:tab/>
        <w:t>(02) 9290 </w:t>
      </w:r>
      <w:r w:rsidRPr="00A35E66">
        <w:t>8421</w:t>
      </w:r>
    </w:p>
    <w:p w:rsidR="00944FF5" w:rsidRPr="00A35E66" w:rsidRDefault="00944FF5" w:rsidP="00944FF5">
      <w:pPr>
        <w:pStyle w:val="BodytextIPART"/>
        <w:tabs>
          <w:tab w:val="left" w:pos="3119"/>
        </w:tabs>
        <w:spacing w:before="80"/>
        <w:ind w:left="284"/>
      </w:pPr>
      <w:r w:rsidRPr="00A35E66">
        <w:t>Tony Camenzuli</w:t>
      </w:r>
      <w:r w:rsidRPr="00A35E66">
        <w:tab/>
        <w:t>(02) 9113 7706</w:t>
      </w:r>
    </w:p>
    <w:p w:rsidR="00493377" w:rsidRPr="00A35E66" w:rsidRDefault="00BB3C37" w:rsidP="00A916AA">
      <w:pPr>
        <w:pStyle w:val="BodytextIPART"/>
        <w:tabs>
          <w:tab w:val="left" w:pos="3119"/>
        </w:tabs>
        <w:spacing w:before="80"/>
        <w:ind w:left="284"/>
      </w:pPr>
      <w:proofErr w:type="spellStart"/>
      <w:r w:rsidRPr="00A35E66">
        <w:t>Kumi</w:t>
      </w:r>
      <w:proofErr w:type="spellEnd"/>
      <w:r w:rsidRPr="00A35E66">
        <w:t xml:space="preserve"> </w:t>
      </w:r>
      <w:proofErr w:type="spellStart"/>
      <w:r w:rsidRPr="00A35E66">
        <w:t>Cuthbertson</w:t>
      </w:r>
      <w:proofErr w:type="spellEnd"/>
      <w:r w:rsidRPr="00A35E66">
        <w:tab/>
      </w:r>
      <w:r w:rsidRPr="00A35E66">
        <w:tab/>
      </w:r>
      <w:r w:rsidR="00493377" w:rsidRPr="00A35E66">
        <w:t>(02) 9290 </w:t>
      </w:r>
      <w:r w:rsidRPr="00A35E66">
        <w:t>8479</w:t>
      </w:r>
    </w:p>
    <w:p w:rsidR="00493377" w:rsidRPr="00A35E66" w:rsidRDefault="00493377">
      <w:pPr>
        <w:pStyle w:val="BodytextIPART"/>
        <w:framePr w:hSpace="181" w:wrap="around" w:hAnchor="text" w:yAlign="bottom"/>
      </w:pPr>
      <w:r w:rsidRPr="00A35E66">
        <w:t>Independent Pricing and Regulatory Tribunal of New South Wales</w:t>
      </w:r>
    </w:p>
    <w:p w:rsidR="00493377" w:rsidRPr="00A35E66" w:rsidRDefault="00743C4F">
      <w:pPr>
        <w:pStyle w:val="BodytextIPART"/>
        <w:framePr w:hSpace="181" w:wrap="around" w:hAnchor="text" w:yAlign="bottom"/>
        <w:spacing w:before="0"/>
      </w:pPr>
      <w:r w:rsidRPr="00A35E66">
        <w:t>PO Box K35</w:t>
      </w:r>
      <w:r w:rsidR="00493377" w:rsidRPr="00A35E66">
        <w:t xml:space="preserve">, </w:t>
      </w:r>
      <w:r w:rsidRPr="00A35E66">
        <w:t>Haymarket Post Shop</w:t>
      </w:r>
      <w:r w:rsidR="00493377" w:rsidRPr="00A35E66">
        <w:rPr>
          <w:rFonts w:ascii="Arial Unicode MS" w:eastAsia="Arial Unicode MS" w:hAnsi="Arial Unicode MS" w:cs="Arial Unicode MS"/>
        </w:rPr>
        <w:t> </w:t>
      </w:r>
      <w:r w:rsidR="00493377" w:rsidRPr="00A35E66">
        <w:t>NSW</w:t>
      </w:r>
      <w:r w:rsidR="00493377" w:rsidRPr="00A35E66">
        <w:rPr>
          <w:rFonts w:ascii="Arial Unicode MS" w:eastAsia="Arial Unicode MS" w:hAnsi="Arial Unicode MS" w:cs="Arial Unicode MS" w:hint="eastAsia"/>
        </w:rPr>
        <w:t> </w:t>
      </w:r>
      <w:r w:rsidR="00493377" w:rsidRPr="00A35E66">
        <w:t>1230</w:t>
      </w:r>
    </w:p>
    <w:p w:rsidR="00493377" w:rsidRPr="00A35E66" w:rsidRDefault="00493377">
      <w:pPr>
        <w:pStyle w:val="BodytextIPART"/>
        <w:framePr w:hSpace="181" w:wrap="around" w:hAnchor="text" w:yAlign="bottom"/>
        <w:spacing w:before="0"/>
      </w:pPr>
      <w:r w:rsidRPr="00A35E66">
        <w:t xml:space="preserve">Level </w:t>
      </w:r>
      <w:r w:rsidR="00743C4F" w:rsidRPr="00A35E66">
        <w:t>15</w:t>
      </w:r>
      <w:r w:rsidRPr="00A35E66">
        <w:t xml:space="preserve">, </w:t>
      </w:r>
      <w:r w:rsidR="00743C4F" w:rsidRPr="00A35E66">
        <w:t>2-24</w:t>
      </w:r>
      <w:r w:rsidRPr="00A35E66">
        <w:t xml:space="preserve"> </w:t>
      </w:r>
      <w:r w:rsidR="00743C4F" w:rsidRPr="00A35E66">
        <w:t>Rawson Place</w:t>
      </w:r>
      <w:r w:rsidRPr="00A35E66">
        <w:t>, Sydney</w:t>
      </w:r>
      <w:r w:rsidRPr="00A35E66">
        <w:rPr>
          <w:rFonts w:ascii="Arial Unicode MS" w:eastAsia="Arial Unicode MS" w:hAnsi="Arial Unicode MS" w:cs="Arial Unicode MS"/>
        </w:rPr>
        <w:t> </w:t>
      </w:r>
      <w:r w:rsidRPr="00A35E66">
        <w:t>NSW</w:t>
      </w:r>
      <w:r w:rsidRPr="00A35E66">
        <w:rPr>
          <w:rFonts w:ascii="Arial Unicode MS" w:eastAsia="Arial Unicode MS" w:hAnsi="Arial Unicode MS" w:cs="Arial Unicode MS" w:hint="eastAsia"/>
        </w:rPr>
        <w:t> </w:t>
      </w:r>
      <w:r w:rsidRPr="00A35E66">
        <w:t>2000</w:t>
      </w:r>
    </w:p>
    <w:p w:rsidR="00493377" w:rsidRPr="00A35E66" w:rsidRDefault="00493377">
      <w:pPr>
        <w:pStyle w:val="BodytextIPART"/>
        <w:framePr w:hSpace="181" w:wrap="around" w:hAnchor="text" w:yAlign="bottom"/>
        <w:spacing w:before="80"/>
      </w:pPr>
      <w:r w:rsidRPr="00A35E66">
        <w:t>T (02) 9290 8400</w:t>
      </w:r>
      <w:r w:rsidRPr="00A35E66">
        <w:rPr>
          <w:rFonts w:ascii="Arial Unicode MS" w:eastAsia="Arial Unicode MS" w:hAnsi="Arial Unicode MS" w:cs="Arial Unicode MS"/>
          <w:sz w:val="24"/>
          <w:szCs w:val="24"/>
        </w:rPr>
        <w:t> </w:t>
      </w:r>
      <w:r w:rsidRPr="00A35E66">
        <w:t>F (02) 9290 2061</w:t>
      </w:r>
    </w:p>
    <w:p w:rsidR="00493377" w:rsidRPr="00A35E66" w:rsidRDefault="0030767F">
      <w:pPr>
        <w:pStyle w:val="BodytextIPART"/>
        <w:framePr w:hSpace="181" w:wrap="around" w:hAnchor="text" w:yAlign="bottom"/>
        <w:spacing w:before="80"/>
      </w:pPr>
      <w:hyperlink r:id="rId9" w:history="1">
        <w:r w:rsidR="00493377" w:rsidRPr="00A35E66">
          <w:t>www.ipart.nsw.gov.au</w:t>
        </w:r>
      </w:hyperlink>
    </w:p>
    <w:p w:rsidR="00CC6341" w:rsidRPr="00A35E66" w:rsidRDefault="00CC6341" w:rsidP="00DF3F01">
      <w:pPr>
        <w:sectPr w:rsidR="00CC6341" w:rsidRPr="00A35E66">
          <w:headerReference w:type="even" r:id="rId10"/>
          <w:headerReference w:type="default" r:id="rId11"/>
          <w:footerReference w:type="even" r:id="rId12"/>
          <w:footerReference w:type="default" r:id="rId13"/>
          <w:pgSz w:w="11907" w:h="16840" w:code="9"/>
          <w:pgMar w:top="2268" w:right="1701" w:bottom="1418" w:left="1701" w:header="1134" w:footer="284" w:gutter="567"/>
          <w:pgNumType w:fmt="lowerRoman"/>
          <w:cols w:space="708"/>
          <w:docGrid w:linePitch="360"/>
        </w:sectPr>
      </w:pPr>
    </w:p>
    <w:p w:rsidR="00493377" w:rsidRPr="00A35E66" w:rsidRDefault="0030767F" w:rsidP="005E2D3A">
      <w:pPr>
        <w:pStyle w:val="Contents"/>
        <w:spacing w:before="0" w:after="2000"/>
      </w:pPr>
      <w:r>
        <w:rPr>
          <w:lang w:eastAsia="en-AU"/>
        </w:rPr>
        <w:lastRenderedPageBrea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w:r>
      <w:r w:rsidR="00493377" w:rsidRPr="00A35E66">
        <w:t>Contents</w:t>
      </w:r>
    </w:p>
    <w:p w:rsidR="006958FA" w:rsidRPr="00A35E66" w:rsidRDefault="0030767F">
      <w:pPr>
        <w:pStyle w:val="TOC1"/>
        <w:rPr>
          <w:rFonts w:asciiTheme="minorHAnsi" w:eastAsiaTheme="minorEastAsia" w:hAnsiTheme="minorHAnsi" w:cstheme="minorBidi"/>
          <w:b w:val="0"/>
          <w:color w:val="auto"/>
          <w:sz w:val="22"/>
          <w:szCs w:val="22"/>
        </w:rPr>
      </w:pPr>
      <w:r w:rsidRPr="0030767F">
        <w:fldChar w:fldCharType="begin"/>
      </w:r>
      <w:r w:rsidR="00493377" w:rsidRPr="00A35E66">
        <w:instrText xml:space="preserve"> TOC \o "2-2" \t "Heading 1,1,Heading 6,2,Heading 1 (no number),1,Part Subtitle,1"  \* MERGEFORMAT  \* MERGEFORMAT </w:instrText>
      </w:r>
      <w:r w:rsidRPr="0030767F">
        <w:fldChar w:fldCharType="separate"/>
      </w:r>
      <w:r w:rsidR="006958FA" w:rsidRPr="00A35E66">
        <w:t>1</w:t>
      </w:r>
      <w:r w:rsidR="006958FA" w:rsidRPr="00A35E66">
        <w:rPr>
          <w:rFonts w:asciiTheme="minorHAnsi" w:eastAsiaTheme="minorEastAsia" w:hAnsiTheme="minorHAnsi" w:cstheme="minorBidi"/>
          <w:b w:val="0"/>
          <w:color w:val="auto"/>
          <w:sz w:val="22"/>
          <w:szCs w:val="22"/>
        </w:rPr>
        <w:tab/>
      </w:r>
      <w:r w:rsidR="006958FA" w:rsidRPr="00A35E66">
        <w:t>Introduction</w:t>
      </w:r>
      <w:r w:rsidR="006958FA" w:rsidRPr="00A35E66">
        <w:tab/>
      </w:r>
      <w:r w:rsidRPr="00A35E66">
        <w:fldChar w:fldCharType="begin"/>
      </w:r>
      <w:r w:rsidR="006958FA" w:rsidRPr="00A35E66">
        <w:instrText xml:space="preserve"> PAGEREF _Toc401138359 \h </w:instrText>
      </w:r>
      <w:r w:rsidRPr="00A35E66">
        <w:fldChar w:fldCharType="separate"/>
      </w:r>
      <w:r w:rsidR="008B0EF1">
        <w:rPr>
          <w:noProof/>
        </w:rPr>
        <w:t>1</w:t>
      </w:r>
      <w:r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1.1</w:t>
      </w:r>
      <w:r w:rsidRPr="00A35E66">
        <w:rPr>
          <w:rFonts w:asciiTheme="minorHAnsi" w:eastAsiaTheme="minorEastAsia" w:hAnsiTheme="minorHAnsi" w:cstheme="minorBidi"/>
          <w:sz w:val="22"/>
          <w:szCs w:val="22"/>
        </w:rPr>
        <w:tab/>
      </w:r>
      <w:r w:rsidRPr="00A35E66">
        <w:t>Completing the application form</w:t>
      </w:r>
      <w:r w:rsidRPr="00A35E66">
        <w:tab/>
      </w:r>
      <w:r w:rsidR="0030767F" w:rsidRPr="00A35E66">
        <w:fldChar w:fldCharType="begin"/>
      </w:r>
      <w:r w:rsidRPr="00A35E66">
        <w:instrText xml:space="preserve"> PAGEREF _Toc401138360 \h </w:instrText>
      </w:r>
      <w:r w:rsidR="0030767F" w:rsidRPr="00A35E66">
        <w:fldChar w:fldCharType="separate"/>
      </w:r>
      <w:r w:rsidR="008B0EF1">
        <w:rPr>
          <w:noProof/>
        </w:rPr>
        <w:t>1</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1.2</w:t>
      </w:r>
      <w:r w:rsidRPr="00A35E66">
        <w:rPr>
          <w:rFonts w:asciiTheme="minorHAnsi" w:eastAsiaTheme="minorEastAsia" w:hAnsiTheme="minorHAnsi" w:cstheme="minorBidi"/>
          <w:sz w:val="22"/>
          <w:szCs w:val="22"/>
        </w:rPr>
        <w:tab/>
      </w:r>
      <w:r w:rsidRPr="00A35E66">
        <w:t>Using the Council Portal to submit the application</w:t>
      </w:r>
      <w:r w:rsidRPr="00A35E66">
        <w:tab/>
      </w:r>
      <w:r w:rsidR="0030767F" w:rsidRPr="00A35E66">
        <w:fldChar w:fldCharType="begin"/>
      </w:r>
      <w:r w:rsidRPr="00A35E66">
        <w:instrText xml:space="preserve"> PAGEREF _Toc401138361 \h </w:instrText>
      </w:r>
      <w:r w:rsidR="0030767F" w:rsidRPr="00A35E66">
        <w:fldChar w:fldCharType="separate"/>
      </w:r>
      <w:r w:rsidR="008B0EF1">
        <w:rPr>
          <w:noProof/>
        </w:rPr>
        <w:t>2</w:t>
      </w:r>
      <w:r w:rsidR="0030767F" w:rsidRPr="00A35E66">
        <w:fldChar w:fldCharType="end"/>
      </w:r>
    </w:p>
    <w:p w:rsidR="006958FA" w:rsidRPr="00A35E66" w:rsidRDefault="006958FA">
      <w:pPr>
        <w:pStyle w:val="TOC1"/>
        <w:rPr>
          <w:rFonts w:asciiTheme="minorHAnsi" w:eastAsiaTheme="minorEastAsia" w:hAnsiTheme="minorHAnsi" w:cstheme="minorBidi"/>
          <w:b w:val="0"/>
          <w:color w:val="auto"/>
          <w:sz w:val="22"/>
          <w:szCs w:val="22"/>
        </w:rPr>
      </w:pPr>
      <w:r w:rsidRPr="00A35E66">
        <w:t>2</w:t>
      </w:r>
      <w:r w:rsidRPr="00A35E66">
        <w:rPr>
          <w:rFonts w:asciiTheme="minorHAnsi" w:eastAsiaTheme="minorEastAsia" w:hAnsiTheme="minorHAnsi" w:cstheme="minorBidi"/>
          <w:b w:val="0"/>
          <w:color w:val="auto"/>
          <w:sz w:val="22"/>
          <w:szCs w:val="22"/>
        </w:rPr>
        <w:tab/>
      </w:r>
      <w:r w:rsidRPr="00A35E66">
        <w:t>Preliminaries</w:t>
      </w:r>
      <w:r w:rsidRPr="00A35E66">
        <w:tab/>
      </w:r>
      <w:r w:rsidR="0030767F" w:rsidRPr="00A35E66">
        <w:fldChar w:fldCharType="begin"/>
      </w:r>
      <w:r w:rsidRPr="00A35E66">
        <w:instrText xml:space="preserve"> PAGEREF _Toc401138362 \h </w:instrText>
      </w:r>
      <w:r w:rsidR="0030767F" w:rsidRPr="00A35E66">
        <w:fldChar w:fldCharType="separate"/>
      </w:r>
      <w:r w:rsidR="008B0EF1">
        <w:rPr>
          <w:noProof/>
        </w:rPr>
        <w:t>3</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2.1</w:t>
      </w:r>
      <w:r w:rsidRPr="00A35E66">
        <w:rPr>
          <w:rFonts w:asciiTheme="minorHAnsi" w:eastAsiaTheme="minorEastAsia" w:hAnsiTheme="minorHAnsi" w:cstheme="minorBidi"/>
          <w:sz w:val="22"/>
          <w:szCs w:val="22"/>
        </w:rPr>
        <w:tab/>
      </w:r>
      <w:r w:rsidRPr="00A35E66">
        <w:t>Focus on Integrated Planning and Reporting</w:t>
      </w:r>
      <w:r w:rsidRPr="00A35E66">
        <w:tab/>
      </w:r>
      <w:r w:rsidR="0030767F" w:rsidRPr="00A35E66">
        <w:fldChar w:fldCharType="begin"/>
      </w:r>
      <w:r w:rsidRPr="00A35E66">
        <w:instrText xml:space="preserve"> PAGEREF _Toc401138363 \h </w:instrText>
      </w:r>
      <w:r w:rsidR="0030767F" w:rsidRPr="00A35E66">
        <w:fldChar w:fldCharType="separate"/>
      </w:r>
      <w:r w:rsidR="008B0EF1">
        <w:rPr>
          <w:noProof/>
        </w:rPr>
        <w:t>3</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2.2</w:t>
      </w:r>
      <w:r w:rsidRPr="00A35E66">
        <w:rPr>
          <w:rFonts w:asciiTheme="minorHAnsi" w:eastAsiaTheme="minorEastAsia" w:hAnsiTheme="minorHAnsi" w:cstheme="minorBidi"/>
          <w:sz w:val="22"/>
          <w:szCs w:val="22"/>
        </w:rPr>
        <w:tab/>
      </w:r>
      <w:r w:rsidRPr="00A35E66">
        <w:t>Key purpose of special variation</w:t>
      </w:r>
      <w:r w:rsidRPr="00A35E66">
        <w:tab/>
      </w:r>
      <w:r w:rsidR="0030767F" w:rsidRPr="00A35E66">
        <w:fldChar w:fldCharType="begin"/>
      </w:r>
      <w:r w:rsidRPr="00A35E66">
        <w:instrText xml:space="preserve"> PAGEREF _Toc401138364 \h </w:instrText>
      </w:r>
      <w:r w:rsidR="0030767F" w:rsidRPr="00A35E66">
        <w:fldChar w:fldCharType="separate"/>
      </w:r>
      <w:r w:rsidR="008B0EF1">
        <w:rPr>
          <w:noProof/>
        </w:rPr>
        <w:t>3</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2.3</w:t>
      </w:r>
      <w:r w:rsidRPr="00A35E66">
        <w:rPr>
          <w:rFonts w:asciiTheme="minorHAnsi" w:eastAsiaTheme="minorEastAsia" w:hAnsiTheme="minorHAnsi" w:cstheme="minorBidi"/>
          <w:sz w:val="22"/>
          <w:szCs w:val="22"/>
        </w:rPr>
        <w:tab/>
      </w:r>
      <w:r w:rsidRPr="00A35E66">
        <w:t>Capital expenditure review</w:t>
      </w:r>
      <w:r w:rsidRPr="00A35E66">
        <w:tab/>
      </w:r>
      <w:r w:rsidR="0030767F" w:rsidRPr="00A35E66">
        <w:fldChar w:fldCharType="begin"/>
      </w:r>
      <w:r w:rsidRPr="00A35E66">
        <w:instrText xml:space="preserve"> PAGEREF _Toc401138365 \h </w:instrText>
      </w:r>
      <w:r w:rsidR="0030767F" w:rsidRPr="00A35E66">
        <w:fldChar w:fldCharType="separate"/>
      </w:r>
      <w:r w:rsidR="008B0EF1">
        <w:rPr>
          <w:noProof/>
        </w:rPr>
        <w:t>6</w:t>
      </w:r>
      <w:r w:rsidR="0030767F" w:rsidRPr="00A35E66">
        <w:fldChar w:fldCharType="end"/>
      </w:r>
    </w:p>
    <w:p w:rsidR="006958FA" w:rsidRPr="00A35E66" w:rsidRDefault="006958FA">
      <w:pPr>
        <w:pStyle w:val="TOC1"/>
        <w:rPr>
          <w:rFonts w:asciiTheme="minorHAnsi" w:eastAsiaTheme="minorEastAsia" w:hAnsiTheme="minorHAnsi" w:cstheme="minorBidi"/>
          <w:b w:val="0"/>
          <w:color w:val="auto"/>
          <w:sz w:val="22"/>
          <w:szCs w:val="22"/>
        </w:rPr>
      </w:pPr>
      <w:r w:rsidRPr="00A35E66">
        <w:t>3</w:t>
      </w:r>
      <w:r w:rsidRPr="00A35E66">
        <w:rPr>
          <w:rFonts w:asciiTheme="minorHAnsi" w:eastAsiaTheme="minorEastAsia" w:hAnsiTheme="minorHAnsi" w:cstheme="minorBidi"/>
          <w:b w:val="0"/>
          <w:color w:val="auto"/>
          <w:sz w:val="22"/>
          <w:szCs w:val="22"/>
        </w:rPr>
        <w:tab/>
      </w:r>
      <w:r w:rsidRPr="00A35E66">
        <w:t>Assessment Criterion 1: Need for the variation</w:t>
      </w:r>
      <w:r w:rsidRPr="00A35E66">
        <w:tab/>
      </w:r>
      <w:r w:rsidR="0030767F" w:rsidRPr="00A35E66">
        <w:fldChar w:fldCharType="begin"/>
      </w:r>
      <w:r w:rsidRPr="00A35E66">
        <w:instrText xml:space="preserve"> PAGEREF _Toc401138366 \h </w:instrText>
      </w:r>
      <w:r w:rsidR="0030767F" w:rsidRPr="00A35E66">
        <w:fldChar w:fldCharType="separate"/>
      </w:r>
      <w:r w:rsidR="008B0EF1">
        <w:rPr>
          <w:noProof/>
        </w:rPr>
        <w:t>6</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3.1</w:t>
      </w:r>
      <w:r w:rsidRPr="00A35E66">
        <w:rPr>
          <w:rFonts w:asciiTheme="minorHAnsi" w:eastAsiaTheme="minorEastAsia" w:hAnsiTheme="minorHAnsi" w:cstheme="minorBidi"/>
          <w:sz w:val="22"/>
          <w:szCs w:val="22"/>
        </w:rPr>
        <w:tab/>
      </w:r>
      <w:r w:rsidRPr="00A35E66">
        <w:t>Case for special variation - community need</w:t>
      </w:r>
      <w:r w:rsidRPr="00A35E66">
        <w:tab/>
      </w:r>
      <w:r w:rsidR="0030767F" w:rsidRPr="00A35E66">
        <w:fldChar w:fldCharType="begin"/>
      </w:r>
      <w:r w:rsidRPr="00A35E66">
        <w:instrText xml:space="preserve"> PAGEREF _Toc401138367 \h </w:instrText>
      </w:r>
      <w:r w:rsidR="0030767F" w:rsidRPr="00A35E66">
        <w:fldChar w:fldCharType="separate"/>
      </w:r>
      <w:r w:rsidR="008B0EF1">
        <w:rPr>
          <w:noProof/>
        </w:rPr>
        <w:t>7</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3.2</w:t>
      </w:r>
      <w:r w:rsidRPr="00A35E66">
        <w:rPr>
          <w:rFonts w:asciiTheme="minorHAnsi" w:eastAsiaTheme="minorEastAsia" w:hAnsiTheme="minorHAnsi" w:cstheme="minorBidi"/>
          <w:sz w:val="22"/>
          <w:szCs w:val="22"/>
        </w:rPr>
        <w:tab/>
      </w:r>
      <w:r w:rsidRPr="00A35E66">
        <w:t>Financial sustainability</w:t>
      </w:r>
      <w:r w:rsidRPr="00A35E66">
        <w:tab/>
      </w:r>
      <w:r w:rsidR="0030767F" w:rsidRPr="00A35E66">
        <w:fldChar w:fldCharType="begin"/>
      </w:r>
      <w:r w:rsidRPr="00A35E66">
        <w:instrText xml:space="preserve"> PAGEREF _Toc401138368 \h </w:instrText>
      </w:r>
      <w:r w:rsidR="0030767F" w:rsidRPr="00A35E66">
        <w:fldChar w:fldCharType="separate"/>
      </w:r>
      <w:r w:rsidR="008B0EF1">
        <w:rPr>
          <w:noProof/>
        </w:rPr>
        <w:t>10</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3.3</w:t>
      </w:r>
      <w:r w:rsidRPr="00A35E66">
        <w:rPr>
          <w:rFonts w:asciiTheme="minorHAnsi" w:eastAsiaTheme="minorEastAsia" w:hAnsiTheme="minorHAnsi" w:cstheme="minorBidi"/>
          <w:sz w:val="22"/>
          <w:szCs w:val="22"/>
        </w:rPr>
        <w:tab/>
      </w:r>
      <w:r w:rsidRPr="00A35E66">
        <w:t>Financial indicators</w:t>
      </w:r>
      <w:r w:rsidRPr="00A35E66">
        <w:tab/>
      </w:r>
      <w:r w:rsidR="0030767F" w:rsidRPr="00A35E66">
        <w:fldChar w:fldCharType="begin"/>
      </w:r>
      <w:r w:rsidRPr="00A35E66">
        <w:instrText xml:space="preserve"> PAGEREF _Toc401138369 \h </w:instrText>
      </w:r>
      <w:r w:rsidR="0030767F" w:rsidRPr="00A35E66">
        <w:fldChar w:fldCharType="separate"/>
      </w:r>
      <w:r w:rsidR="008B0EF1">
        <w:rPr>
          <w:noProof/>
        </w:rPr>
        <w:t>12</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3.4</w:t>
      </w:r>
      <w:r w:rsidRPr="00A35E66">
        <w:rPr>
          <w:rFonts w:asciiTheme="minorHAnsi" w:eastAsiaTheme="minorEastAsia" w:hAnsiTheme="minorHAnsi" w:cstheme="minorBidi"/>
          <w:sz w:val="22"/>
          <w:szCs w:val="22"/>
        </w:rPr>
        <w:tab/>
      </w:r>
      <w:r w:rsidRPr="00A35E66">
        <w:t>Contribution plan costs above the cap</w:t>
      </w:r>
      <w:r w:rsidRPr="00A35E66">
        <w:tab/>
      </w:r>
      <w:r w:rsidR="0030767F" w:rsidRPr="00A35E66">
        <w:fldChar w:fldCharType="begin"/>
      </w:r>
      <w:r w:rsidRPr="00A35E66">
        <w:instrText xml:space="preserve"> PAGEREF _Toc401138370 \h </w:instrText>
      </w:r>
      <w:r w:rsidR="0030767F" w:rsidRPr="00A35E66">
        <w:fldChar w:fldCharType="separate"/>
      </w:r>
      <w:r w:rsidR="008B0EF1">
        <w:rPr>
          <w:noProof/>
        </w:rPr>
        <w:t>14</w:t>
      </w:r>
      <w:r w:rsidR="0030767F" w:rsidRPr="00A35E66">
        <w:fldChar w:fldCharType="end"/>
      </w:r>
    </w:p>
    <w:p w:rsidR="006958FA" w:rsidRPr="00A35E66" w:rsidRDefault="006958FA">
      <w:pPr>
        <w:pStyle w:val="TOC1"/>
        <w:rPr>
          <w:rFonts w:asciiTheme="minorHAnsi" w:eastAsiaTheme="minorEastAsia" w:hAnsiTheme="minorHAnsi" w:cstheme="minorBidi"/>
          <w:b w:val="0"/>
          <w:color w:val="auto"/>
          <w:sz w:val="22"/>
          <w:szCs w:val="22"/>
        </w:rPr>
      </w:pPr>
      <w:r w:rsidRPr="00A35E66">
        <w:t>4</w:t>
      </w:r>
      <w:r w:rsidRPr="00A35E66">
        <w:rPr>
          <w:rFonts w:asciiTheme="minorHAnsi" w:eastAsiaTheme="minorEastAsia" w:hAnsiTheme="minorHAnsi" w:cstheme="minorBidi"/>
          <w:b w:val="0"/>
          <w:color w:val="auto"/>
          <w:sz w:val="22"/>
          <w:szCs w:val="22"/>
        </w:rPr>
        <w:tab/>
      </w:r>
      <w:r w:rsidRPr="00A35E66">
        <w:t>Assessment criterion 2: Community awareness and engagement</w:t>
      </w:r>
      <w:r w:rsidRPr="00A35E66">
        <w:tab/>
      </w:r>
      <w:r w:rsidR="0030767F" w:rsidRPr="00A35E66">
        <w:fldChar w:fldCharType="begin"/>
      </w:r>
      <w:r w:rsidRPr="00A35E66">
        <w:instrText xml:space="preserve"> PAGEREF _Toc401138371 \h </w:instrText>
      </w:r>
      <w:r w:rsidR="0030767F" w:rsidRPr="00A35E66">
        <w:fldChar w:fldCharType="separate"/>
      </w:r>
      <w:r w:rsidR="008B0EF1">
        <w:rPr>
          <w:noProof/>
        </w:rPr>
        <w:t>14</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rPr>
          <w:bCs/>
        </w:rPr>
        <w:t>4.1</w:t>
      </w:r>
      <w:r w:rsidRPr="00A35E66">
        <w:rPr>
          <w:rFonts w:asciiTheme="minorHAnsi" w:eastAsiaTheme="minorEastAsia" w:hAnsiTheme="minorHAnsi" w:cstheme="minorBidi"/>
          <w:sz w:val="22"/>
          <w:szCs w:val="22"/>
        </w:rPr>
        <w:tab/>
      </w:r>
      <w:r w:rsidRPr="00A35E66">
        <w:rPr>
          <w:bCs/>
        </w:rPr>
        <w:t>The consultation strategy</w:t>
      </w:r>
      <w:r w:rsidRPr="00A35E66">
        <w:tab/>
      </w:r>
      <w:r w:rsidR="0030767F" w:rsidRPr="00A35E66">
        <w:fldChar w:fldCharType="begin"/>
      </w:r>
      <w:r w:rsidRPr="00A35E66">
        <w:instrText xml:space="preserve"> PAGEREF _Toc401138372 \h </w:instrText>
      </w:r>
      <w:r w:rsidR="0030767F" w:rsidRPr="00A35E66">
        <w:fldChar w:fldCharType="separate"/>
      </w:r>
      <w:r w:rsidR="008B0EF1">
        <w:rPr>
          <w:noProof/>
        </w:rPr>
        <w:t>16</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4.2</w:t>
      </w:r>
      <w:r w:rsidRPr="00A35E66">
        <w:rPr>
          <w:rFonts w:asciiTheme="minorHAnsi" w:eastAsiaTheme="minorEastAsia" w:hAnsiTheme="minorHAnsi" w:cstheme="minorBidi"/>
          <w:sz w:val="22"/>
          <w:szCs w:val="22"/>
        </w:rPr>
        <w:tab/>
      </w:r>
      <w:r w:rsidRPr="00A35E66">
        <w:t>Feedback from the community consultations</w:t>
      </w:r>
      <w:r w:rsidRPr="00A35E66">
        <w:tab/>
      </w:r>
      <w:r w:rsidR="0030767F" w:rsidRPr="00A35E66">
        <w:fldChar w:fldCharType="begin"/>
      </w:r>
      <w:r w:rsidRPr="00A35E66">
        <w:instrText xml:space="preserve"> PAGEREF _Toc401138373 \h </w:instrText>
      </w:r>
      <w:r w:rsidR="0030767F" w:rsidRPr="00A35E66">
        <w:fldChar w:fldCharType="separate"/>
      </w:r>
      <w:r w:rsidR="008B0EF1">
        <w:rPr>
          <w:noProof/>
        </w:rPr>
        <w:t>18</w:t>
      </w:r>
      <w:r w:rsidR="0030767F" w:rsidRPr="00A35E66">
        <w:fldChar w:fldCharType="end"/>
      </w:r>
    </w:p>
    <w:p w:rsidR="006958FA" w:rsidRPr="00A35E66" w:rsidRDefault="006958FA">
      <w:pPr>
        <w:pStyle w:val="TOC1"/>
        <w:rPr>
          <w:rFonts w:asciiTheme="minorHAnsi" w:eastAsiaTheme="minorEastAsia" w:hAnsiTheme="minorHAnsi" w:cstheme="minorBidi"/>
          <w:b w:val="0"/>
          <w:color w:val="auto"/>
          <w:sz w:val="22"/>
          <w:szCs w:val="22"/>
        </w:rPr>
      </w:pPr>
      <w:r w:rsidRPr="00A35E66">
        <w:t>5</w:t>
      </w:r>
      <w:r w:rsidRPr="00A35E66">
        <w:rPr>
          <w:rFonts w:asciiTheme="minorHAnsi" w:eastAsiaTheme="minorEastAsia" w:hAnsiTheme="minorHAnsi" w:cstheme="minorBidi"/>
          <w:b w:val="0"/>
          <w:color w:val="auto"/>
          <w:sz w:val="22"/>
          <w:szCs w:val="22"/>
        </w:rPr>
        <w:tab/>
      </w:r>
      <w:r w:rsidRPr="00A35E66">
        <w:t>Assessment criterion 3: Impact on ratepayers</w:t>
      </w:r>
      <w:r w:rsidRPr="00A35E66">
        <w:tab/>
      </w:r>
      <w:r w:rsidR="0030767F" w:rsidRPr="00A35E66">
        <w:fldChar w:fldCharType="begin"/>
      </w:r>
      <w:r w:rsidRPr="00A35E66">
        <w:instrText xml:space="preserve"> PAGEREF _Toc401138374 \h </w:instrText>
      </w:r>
      <w:r w:rsidR="0030767F" w:rsidRPr="00A35E66">
        <w:fldChar w:fldCharType="separate"/>
      </w:r>
      <w:r w:rsidR="008B0EF1">
        <w:rPr>
          <w:noProof/>
        </w:rPr>
        <w:t>20</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5.1</w:t>
      </w:r>
      <w:r w:rsidRPr="00A35E66">
        <w:rPr>
          <w:rFonts w:asciiTheme="minorHAnsi" w:eastAsiaTheme="minorEastAsia" w:hAnsiTheme="minorHAnsi" w:cstheme="minorBidi"/>
          <w:sz w:val="22"/>
          <w:szCs w:val="22"/>
        </w:rPr>
        <w:tab/>
      </w:r>
      <w:r w:rsidRPr="00A35E66">
        <w:t>Impact on rates</w:t>
      </w:r>
      <w:r w:rsidRPr="00A35E66">
        <w:tab/>
      </w:r>
      <w:r w:rsidR="0030767F" w:rsidRPr="00A35E66">
        <w:fldChar w:fldCharType="begin"/>
      </w:r>
      <w:r w:rsidRPr="00A35E66">
        <w:instrText xml:space="preserve"> PAGEREF _Toc401138375 \h </w:instrText>
      </w:r>
      <w:r w:rsidR="0030767F" w:rsidRPr="00A35E66">
        <w:fldChar w:fldCharType="separate"/>
      </w:r>
      <w:r w:rsidR="008B0EF1">
        <w:rPr>
          <w:noProof/>
        </w:rPr>
        <w:t>20</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5.2</w:t>
      </w:r>
      <w:r w:rsidRPr="00A35E66">
        <w:rPr>
          <w:rFonts w:asciiTheme="minorHAnsi" w:eastAsiaTheme="minorEastAsia" w:hAnsiTheme="minorHAnsi" w:cstheme="minorBidi"/>
          <w:sz w:val="22"/>
          <w:szCs w:val="22"/>
        </w:rPr>
        <w:tab/>
      </w:r>
      <w:r w:rsidRPr="00A35E66">
        <w:t>Consideration of affordability and the community’s capacity and willingness to pay</w:t>
      </w:r>
      <w:r w:rsidRPr="00A35E66">
        <w:tab/>
      </w:r>
      <w:r w:rsidR="0030767F" w:rsidRPr="00A35E66">
        <w:fldChar w:fldCharType="begin"/>
      </w:r>
      <w:r w:rsidRPr="00A35E66">
        <w:instrText xml:space="preserve"> PAGEREF _Toc401138376 \h </w:instrText>
      </w:r>
      <w:r w:rsidR="0030767F" w:rsidRPr="00A35E66">
        <w:fldChar w:fldCharType="separate"/>
      </w:r>
      <w:r w:rsidR="008B0EF1">
        <w:rPr>
          <w:noProof/>
        </w:rPr>
        <w:t>23</w:t>
      </w:r>
      <w:r w:rsidR="0030767F" w:rsidRPr="00A35E66">
        <w:fldChar w:fldCharType="end"/>
      </w:r>
    </w:p>
    <w:p w:rsidR="006958FA" w:rsidRPr="00A35E66" w:rsidRDefault="006958FA">
      <w:pPr>
        <w:pStyle w:val="TOC2"/>
        <w:rPr>
          <w:rFonts w:asciiTheme="minorHAnsi" w:eastAsiaTheme="minorEastAsia" w:hAnsiTheme="minorHAnsi" w:cstheme="minorBidi"/>
          <w:sz w:val="22"/>
          <w:szCs w:val="22"/>
        </w:rPr>
      </w:pPr>
      <w:r w:rsidRPr="00A35E66">
        <w:t>5.3</w:t>
      </w:r>
      <w:r w:rsidRPr="00A35E66">
        <w:rPr>
          <w:rFonts w:asciiTheme="minorHAnsi" w:eastAsiaTheme="minorEastAsia" w:hAnsiTheme="minorHAnsi" w:cstheme="minorBidi"/>
          <w:sz w:val="22"/>
          <w:szCs w:val="22"/>
        </w:rPr>
        <w:tab/>
      </w:r>
      <w:r w:rsidRPr="00A35E66">
        <w:t>Addressing hardship</w:t>
      </w:r>
      <w:r w:rsidRPr="00A35E66">
        <w:tab/>
      </w:r>
      <w:r w:rsidR="0030767F" w:rsidRPr="00A35E66">
        <w:fldChar w:fldCharType="begin"/>
      </w:r>
      <w:r w:rsidRPr="00A35E66">
        <w:instrText xml:space="preserve"> PAGEREF _Toc401138377 \h </w:instrText>
      </w:r>
      <w:r w:rsidR="0030767F" w:rsidRPr="00A35E66">
        <w:fldChar w:fldCharType="separate"/>
      </w:r>
      <w:r w:rsidR="008B0EF1">
        <w:rPr>
          <w:noProof/>
        </w:rPr>
        <w:t>24</w:t>
      </w:r>
      <w:r w:rsidR="0030767F" w:rsidRPr="00A35E66">
        <w:fldChar w:fldCharType="end"/>
      </w:r>
    </w:p>
    <w:p w:rsidR="006958FA" w:rsidRPr="00A35E66" w:rsidRDefault="006958FA">
      <w:pPr>
        <w:pStyle w:val="TOC1"/>
        <w:rPr>
          <w:rFonts w:asciiTheme="minorHAnsi" w:eastAsiaTheme="minorEastAsia" w:hAnsiTheme="minorHAnsi" w:cstheme="minorBidi"/>
          <w:b w:val="0"/>
          <w:color w:val="auto"/>
          <w:sz w:val="22"/>
          <w:szCs w:val="22"/>
        </w:rPr>
      </w:pPr>
      <w:r w:rsidRPr="00A35E66">
        <w:t>6</w:t>
      </w:r>
      <w:r w:rsidRPr="00A35E66">
        <w:rPr>
          <w:rFonts w:asciiTheme="minorHAnsi" w:eastAsiaTheme="minorEastAsia" w:hAnsiTheme="minorHAnsi" w:cstheme="minorBidi"/>
          <w:b w:val="0"/>
          <w:color w:val="auto"/>
          <w:sz w:val="22"/>
          <w:szCs w:val="22"/>
        </w:rPr>
        <w:tab/>
      </w:r>
      <w:r w:rsidRPr="00A35E66">
        <w:t>Assessment criterion 4: Public exhibition of relevant IP&amp;R documents</w:t>
      </w:r>
      <w:r w:rsidRPr="00A35E66">
        <w:tab/>
      </w:r>
      <w:r w:rsidR="0030767F" w:rsidRPr="00A35E66">
        <w:fldChar w:fldCharType="begin"/>
      </w:r>
      <w:r w:rsidRPr="00A35E66">
        <w:instrText xml:space="preserve"> PAGEREF _Toc401138378 \h </w:instrText>
      </w:r>
      <w:r w:rsidR="0030767F" w:rsidRPr="00A35E66">
        <w:fldChar w:fldCharType="separate"/>
      </w:r>
      <w:r w:rsidR="008B0EF1">
        <w:rPr>
          <w:noProof/>
        </w:rPr>
        <w:t>25</w:t>
      </w:r>
      <w:r w:rsidR="0030767F" w:rsidRPr="00A35E66">
        <w:fldChar w:fldCharType="end"/>
      </w:r>
    </w:p>
    <w:p w:rsidR="006958FA" w:rsidRPr="00A35E66" w:rsidRDefault="006958FA">
      <w:pPr>
        <w:pStyle w:val="TOC1"/>
        <w:rPr>
          <w:rFonts w:asciiTheme="minorHAnsi" w:eastAsiaTheme="minorEastAsia" w:hAnsiTheme="minorHAnsi" w:cstheme="minorBidi"/>
          <w:b w:val="0"/>
          <w:color w:val="auto"/>
          <w:sz w:val="22"/>
          <w:szCs w:val="22"/>
        </w:rPr>
      </w:pPr>
      <w:r w:rsidRPr="00A35E66">
        <w:t>7</w:t>
      </w:r>
      <w:r w:rsidRPr="00A35E66">
        <w:rPr>
          <w:rFonts w:asciiTheme="minorHAnsi" w:eastAsiaTheme="minorEastAsia" w:hAnsiTheme="minorHAnsi" w:cstheme="minorBidi"/>
          <w:b w:val="0"/>
          <w:color w:val="auto"/>
          <w:sz w:val="22"/>
          <w:szCs w:val="22"/>
        </w:rPr>
        <w:tab/>
      </w:r>
      <w:r w:rsidRPr="00A35E66">
        <w:t>Assessment criterion 5: Productivity improvements and cost containment strategies</w:t>
      </w:r>
      <w:r w:rsidRPr="00A35E66">
        <w:tab/>
      </w:r>
      <w:r w:rsidR="0030767F" w:rsidRPr="00A35E66">
        <w:fldChar w:fldCharType="begin"/>
      </w:r>
      <w:r w:rsidRPr="00A35E66">
        <w:instrText xml:space="preserve"> PAGEREF _Toc401138379 \h </w:instrText>
      </w:r>
      <w:r w:rsidR="0030767F" w:rsidRPr="00A35E66">
        <w:fldChar w:fldCharType="separate"/>
      </w:r>
      <w:r w:rsidR="008B0EF1">
        <w:rPr>
          <w:noProof/>
        </w:rPr>
        <w:t>28</w:t>
      </w:r>
      <w:r w:rsidR="0030767F" w:rsidRPr="00A35E66">
        <w:fldChar w:fldCharType="end"/>
      </w:r>
    </w:p>
    <w:p w:rsidR="006958FA" w:rsidRPr="00A35E66" w:rsidRDefault="006958FA">
      <w:pPr>
        <w:pStyle w:val="TOC1"/>
        <w:rPr>
          <w:rFonts w:asciiTheme="minorHAnsi" w:eastAsiaTheme="minorEastAsia" w:hAnsiTheme="minorHAnsi" w:cstheme="minorBidi"/>
          <w:b w:val="0"/>
          <w:color w:val="auto"/>
          <w:sz w:val="22"/>
          <w:szCs w:val="22"/>
        </w:rPr>
      </w:pPr>
      <w:r w:rsidRPr="00A35E66">
        <w:t>8</w:t>
      </w:r>
      <w:r w:rsidRPr="00A35E66">
        <w:rPr>
          <w:rFonts w:asciiTheme="minorHAnsi" w:eastAsiaTheme="minorEastAsia" w:hAnsiTheme="minorHAnsi" w:cstheme="minorBidi"/>
          <w:b w:val="0"/>
          <w:color w:val="auto"/>
          <w:sz w:val="22"/>
          <w:szCs w:val="22"/>
        </w:rPr>
        <w:tab/>
      </w:r>
      <w:r w:rsidRPr="00A35E66">
        <w:t>List of attachments</w:t>
      </w:r>
      <w:r w:rsidRPr="00A35E66">
        <w:tab/>
      </w:r>
      <w:r w:rsidR="0030767F" w:rsidRPr="00A35E66">
        <w:fldChar w:fldCharType="begin"/>
      </w:r>
      <w:r w:rsidRPr="00A35E66">
        <w:instrText xml:space="preserve"> PAGEREF _Toc401138380 \h </w:instrText>
      </w:r>
      <w:r w:rsidR="0030767F" w:rsidRPr="00A35E66">
        <w:fldChar w:fldCharType="separate"/>
      </w:r>
      <w:r w:rsidR="008B0EF1">
        <w:rPr>
          <w:noProof/>
        </w:rPr>
        <w:t>30</w:t>
      </w:r>
      <w:r w:rsidR="0030767F" w:rsidRPr="00A35E66">
        <w:fldChar w:fldCharType="end"/>
      </w:r>
    </w:p>
    <w:p w:rsidR="006958FA" w:rsidRPr="00A35E66" w:rsidRDefault="006958FA">
      <w:pPr>
        <w:pStyle w:val="TOC1"/>
        <w:rPr>
          <w:rFonts w:asciiTheme="minorHAnsi" w:eastAsiaTheme="minorEastAsia" w:hAnsiTheme="minorHAnsi" w:cstheme="minorBidi"/>
          <w:b w:val="0"/>
          <w:color w:val="auto"/>
          <w:sz w:val="22"/>
          <w:szCs w:val="22"/>
        </w:rPr>
      </w:pPr>
      <w:r w:rsidRPr="00A35E66">
        <w:t>9</w:t>
      </w:r>
      <w:r w:rsidRPr="00A35E66">
        <w:rPr>
          <w:rFonts w:asciiTheme="minorHAnsi" w:eastAsiaTheme="minorEastAsia" w:hAnsiTheme="minorHAnsi" w:cstheme="minorBidi"/>
          <w:b w:val="0"/>
          <w:color w:val="auto"/>
          <w:sz w:val="22"/>
          <w:szCs w:val="22"/>
        </w:rPr>
        <w:tab/>
      </w:r>
      <w:r w:rsidRPr="00A35E66">
        <w:t>Certification</w:t>
      </w:r>
      <w:r w:rsidRPr="00A35E66">
        <w:tab/>
      </w:r>
      <w:r w:rsidR="0030767F" w:rsidRPr="00A35E66">
        <w:fldChar w:fldCharType="begin"/>
      </w:r>
      <w:r w:rsidRPr="00A35E66">
        <w:instrText xml:space="preserve"> PAGEREF _Toc401138381 \h </w:instrText>
      </w:r>
      <w:r w:rsidR="0030767F" w:rsidRPr="00A35E66">
        <w:fldChar w:fldCharType="separate"/>
      </w:r>
      <w:r w:rsidR="008B0EF1">
        <w:rPr>
          <w:noProof/>
        </w:rPr>
        <w:t>33</w:t>
      </w:r>
      <w:r w:rsidR="0030767F" w:rsidRPr="00A35E66">
        <w:fldChar w:fldCharType="end"/>
      </w:r>
    </w:p>
    <w:p w:rsidR="002F428B" w:rsidRPr="00A35E66" w:rsidRDefault="0030767F" w:rsidP="002F428B">
      <w:pPr>
        <w:sectPr w:rsidR="002F428B" w:rsidRPr="00A35E66">
          <w:headerReference w:type="even" r:id="rId14"/>
          <w:headerReference w:type="default" r:id="rId15"/>
          <w:headerReference w:type="first" r:id="rId16"/>
          <w:footerReference w:type="first" r:id="rId17"/>
          <w:type w:val="oddPage"/>
          <w:pgSz w:w="11907" w:h="16840" w:code="9"/>
          <w:pgMar w:top="2268" w:right="1701" w:bottom="1418" w:left="1701" w:header="1134" w:footer="284" w:gutter="567"/>
          <w:pgNumType w:fmt="lowerRoman"/>
          <w:cols w:space="708"/>
          <w:docGrid w:linePitch="360"/>
        </w:sectPr>
      </w:pPr>
      <w:r w:rsidRPr="00A35E66">
        <w:fldChar w:fldCharType="end"/>
      </w:r>
    </w:p>
    <w:p w:rsidR="00342A57" w:rsidRPr="00A35E66" w:rsidRDefault="000F359C" w:rsidP="00562CD3">
      <w:pPr>
        <w:pStyle w:val="Heading1"/>
        <w:spacing w:before="0"/>
      </w:pPr>
      <w:bookmarkStart w:id="0" w:name="_Toc401138359"/>
      <w:r w:rsidRPr="00A35E66">
        <w:lastRenderedPageBreak/>
        <w:t>Introduction</w:t>
      </w:r>
      <w:bookmarkEnd w:id="0"/>
    </w:p>
    <w:p w:rsidR="004739D9" w:rsidRPr="00A35E66" w:rsidRDefault="004739D9" w:rsidP="004739D9">
      <w:pPr>
        <w:pStyle w:val="BodyText"/>
        <w:spacing w:before="200"/>
      </w:pPr>
      <w:r w:rsidRPr="00A35E66">
        <w:t xml:space="preserve">IPART </w:t>
      </w:r>
      <w:r w:rsidR="00EC7CBC" w:rsidRPr="00A35E66">
        <w:t xml:space="preserve">will </w:t>
      </w:r>
      <w:r w:rsidRPr="00A35E66">
        <w:t>assess each application against the criteria set out in the Office of Local Government</w:t>
      </w:r>
      <w:r w:rsidR="002245AF" w:rsidRPr="00A35E66">
        <w:t>’s</w:t>
      </w:r>
      <w:r w:rsidRPr="00A35E66">
        <w:t xml:space="preserve"> (OLG) </w:t>
      </w:r>
      <w:r w:rsidRPr="00A35E66">
        <w:rPr>
          <w:i/>
        </w:rPr>
        <w:t>Guidelines for the preparation of an application for a special variation to general income for 2015/2016</w:t>
      </w:r>
      <w:r w:rsidRPr="00A35E66">
        <w:t xml:space="preserve"> (the Guidelines).  Councils should refer to these guidelines before completing this application form.</w:t>
      </w:r>
      <w:r w:rsidRPr="00A35E66">
        <w:rPr>
          <w:rStyle w:val="FootnoteReference"/>
        </w:rPr>
        <w:footnoteReference w:id="1"/>
      </w:r>
      <w:r w:rsidRPr="00A35E66">
        <w:t xml:space="preserve">  </w:t>
      </w:r>
    </w:p>
    <w:p w:rsidR="00D60EA5" w:rsidRPr="00A35E66" w:rsidRDefault="00D60EA5" w:rsidP="00D60EA5">
      <w:pPr>
        <w:pStyle w:val="BodyText"/>
        <w:spacing w:before="200"/>
      </w:pPr>
      <w:r w:rsidRPr="00A35E66">
        <w:t xml:space="preserve">Each council must complete this </w:t>
      </w:r>
      <w:r w:rsidR="00D026FE" w:rsidRPr="00A35E66">
        <w:t xml:space="preserve">Part B </w:t>
      </w:r>
      <w:r w:rsidRPr="00A35E66">
        <w:t xml:space="preserve">application form </w:t>
      </w:r>
      <w:r w:rsidR="00AA2737" w:rsidRPr="00A35E66">
        <w:t xml:space="preserve">when applying </w:t>
      </w:r>
      <w:r w:rsidRPr="00A35E66">
        <w:t>for a special variation to general income</w:t>
      </w:r>
      <w:r w:rsidR="00AA2737" w:rsidRPr="00A35E66">
        <w:t xml:space="preserve"> </w:t>
      </w:r>
      <w:r w:rsidRPr="00A35E66">
        <w:t xml:space="preserve">either under section 508A or under section 508(2) of the </w:t>
      </w:r>
      <w:r w:rsidRPr="00A35E66">
        <w:rPr>
          <w:i/>
        </w:rPr>
        <w:t>Local Government Act 1993</w:t>
      </w:r>
      <w:r w:rsidRPr="00A35E66">
        <w:t>.</w:t>
      </w:r>
    </w:p>
    <w:p w:rsidR="00C24EC9" w:rsidRPr="00A35E66" w:rsidRDefault="00C66870" w:rsidP="002F6AC0">
      <w:pPr>
        <w:pStyle w:val="BodyText"/>
      </w:pPr>
      <w:r w:rsidRPr="00A35E66">
        <w:t>Th</w:t>
      </w:r>
      <w:r w:rsidR="00D026FE" w:rsidRPr="00A35E66">
        <w:t xml:space="preserve">e Part B </w:t>
      </w:r>
      <w:r w:rsidRPr="00A35E66">
        <w:t xml:space="preserve">form must be completed together with </w:t>
      </w:r>
      <w:r w:rsidR="00F83DBB" w:rsidRPr="00A35E66">
        <w:t>the</w:t>
      </w:r>
      <w:r w:rsidRPr="00A35E66">
        <w:t xml:space="preserve"> </w:t>
      </w:r>
      <w:r w:rsidR="00D026FE" w:rsidRPr="00A35E66">
        <w:t xml:space="preserve">Part </w:t>
      </w:r>
      <w:r w:rsidRPr="00A35E66">
        <w:t xml:space="preserve">A </w:t>
      </w:r>
      <w:r w:rsidR="009448D9" w:rsidRPr="00A35E66">
        <w:t xml:space="preserve">(spreadsheet) </w:t>
      </w:r>
      <w:r w:rsidR="00395871" w:rsidRPr="00A35E66">
        <w:t>form</w:t>
      </w:r>
      <w:r w:rsidR="00F57C50" w:rsidRPr="00A35E66">
        <w:t xml:space="preserve"> for both </w:t>
      </w:r>
      <w:proofErr w:type="gramStart"/>
      <w:r w:rsidR="00F57C50" w:rsidRPr="00A35E66">
        <w:t>s508(</w:t>
      </w:r>
      <w:proofErr w:type="gramEnd"/>
      <w:r w:rsidR="00F57C50" w:rsidRPr="00A35E66">
        <w:t>2) and s508A applications.</w:t>
      </w:r>
      <w:r w:rsidR="00B230DF" w:rsidRPr="00A35E66">
        <w:t xml:space="preserve">  The Guidelines </w:t>
      </w:r>
      <w:r w:rsidR="00266497" w:rsidRPr="00A35E66">
        <w:t xml:space="preserve">also </w:t>
      </w:r>
      <w:r w:rsidR="00B230DF" w:rsidRPr="00A35E66">
        <w:t xml:space="preserve">require the council to have resolved to apply for a special variation.  </w:t>
      </w:r>
      <w:r w:rsidR="000705E4" w:rsidRPr="00A35E66">
        <w:t>You must a</w:t>
      </w:r>
      <w:r w:rsidR="00B230DF" w:rsidRPr="00A35E66">
        <w:rPr>
          <w:rFonts w:cs="Arial"/>
        </w:rPr>
        <w:t xml:space="preserve">ttach a </w:t>
      </w:r>
      <w:r w:rsidR="00B230DF" w:rsidRPr="00A35E66">
        <w:t>copy of the council’s resolution to make a special variation</w:t>
      </w:r>
      <w:r w:rsidR="00B417F9" w:rsidRPr="00A35E66">
        <w:t xml:space="preserve"> application.  IPART’s</w:t>
      </w:r>
      <w:r w:rsidR="00B230DF" w:rsidRPr="00A35E66">
        <w:t xml:space="preserve"> assessment of the application cannot commence without it.</w:t>
      </w:r>
    </w:p>
    <w:p w:rsidR="00C24EC9" w:rsidRPr="00A35E66" w:rsidRDefault="00C24EC9" w:rsidP="00C24EC9">
      <w:pPr>
        <w:pStyle w:val="Heading2"/>
      </w:pPr>
      <w:bookmarkStart w:id="1" w:name="_Toc401138360"/>
      <w:r w:rsidRPr="00A35E66">
        <w:t>Completing the application form</w:t>
      </w:r>
      <w:bookmarkEnd w:id="1"/>
    </w:p>
    <w:p w:rsidR="00C24EC9" w:rsidRPr="00A35E66" w:rsidRDefault="00F57C50" w:rsidP="00007AFB">
      <w:pPr>
        <w:pStyle w:val="BodyText"/>
        <w:spacing w:before="200"/>
      </w:pPr>
      <w:r w:rsidRPr="00A35E66">
        <w:t>This form is structured to provide guidance on the information</w:t>
      </w:r>
      <w:r w:rsidR="00552238" w:rsidRPr="00A35E66">
        <w:t xml:space="preserve"> we consider necessary to assess a special variation application.  </w:t>
      </w:r>
      <w:r w:rsidR="00292582" w:rsidRPr="00A35E66">
        <w:t>To complete t</w:t>
      </w:r>
      <w:r w:rsidR="00007AFB" w:rsidRPr="00A35E66">
        <w:t>he form</w:t>
      </w:r>
      <w:r w:rsidR="00292582" w:rsidRPr="00A35E66">
        <w:t xml:space="preserve">, the council will need to respond to questions and </w:t>
      </w:r>
      <w:r w:rsidR="0060289A" w:rsidRPr="00A35E66">
        <w:t xml:space="preserve">insert </w:t>
      </w:r>
      <w:r w:rsidR="00292582" w:rsidRPr="00A35E66">
        <w:t>text</w:t>
      </w:r>
      <w:r w:rsidR="0060289A" w:rsidRPr="00A35E66">
        <w:t xml:space="preserve"> in </w:t>
      </w:r>
      <w:r w:rsidR="00007AFB" w:rsidRPr="00A35E66">
        <w:t xml:space="preserve">the </w:t>
      </w:r>
      <w:r w:rsidR="001F1E22" w:rsidRPr="00A35E66">
        <w:t>boxed</w:t>
      </w:r>
      <w:r w:rsidR="004A5883" w:rsidRPr="00A35E66">
        <w:t xml:space="preserve"> </w:t>
      </w:r>
      <w:r w:rsidR="00007AFB" w:rsidRPr="00A35E66">
        <w:t xml:space="preserve">area following each section or sub-section. </w:t>
      </w:r>
      <w:r w:rsidR="004A5883" w:rsidRPr="00A35E66">
        <w:t xml:space="preserve"> </w:t>
      </w:r>
    </w:p>
    <w:p w:rsidR="008759BB" w:rsidRPr="00A35E66" w:rsidRDefault="00C24EC9" w:rsidP="008759BB">
      <w:pPr>
        <w:pStyle w:val="BodyText"/>
        <w:spacing w:before="200"/>
      </w:pPr>
      <w:r w:rsidRPr="00A35E66">
        <w:t xml:space="preserve">The amount of information </w:t>
      </w:r>
      <w:r w:rsidR="00DB0D91" w:rsidRPr="00A35E66">
        <w:t>t</w:t>
      </w:r>
      <w:r w:rsidR="002245AF" w:rsidRPr="00A35E66">
        <w:t>hat a council</w:t>
      </w:r>
      <w:r w:rsidR="00DB0D91" w:rsidRPr="00A35E66">
        <w:t xml:space="preserve"> </w:t>
      </w:r>
      <w:r w:rsidRPr="00A35E66">
        <w:t>provide</w:t>
      </w:r>
      <w:r w:rsidR="002245AF" w:rsidRPr="00A35E66">
        <w:t>s</w:t>
      </w:r>
      <w:r w:rsidR="00DB0D91" w:rsidRPr="00A35E66">
        <w:t xml:space="preserve"> will be a</w:t>
      </w:r>
      <w:r w:rsidR="00FF0FA8" w:rsidRPr="00A35E66">
        <w:t xml:space="preserve"> matter of judgement</w:t>
      </w:r>
      <w:r w:rsidR="00DB0D91" w:rsidRPr="00A35E66">
        <w:t xml:space="preserve"> for the council</w:t>
      </w:r>
      <w:r w:rsidR="00FF0FA8" w:rsidRPr="00A35E66">
        <w:t xml:space="preserve">, but </w:t>
      </w:r>
      <w:r w:rsidR="00DB0D91" w:rsidRPr="00A35E66">
        <w:t xml:space="preserve">it </w:t>
      </w:r>
      <w:r w:rsidRPr="00A35E66">
        <w:t>should be sufficient for us to make an evidence-based assessment of the application</w:t>
      </w:r>
      <w:r w:rsidR="00E1459C" w:rsidRPr="00A35E66">
        <w:t>.</w:t>
      </w:r>
      <w:r w:rsidRPr="00A35E66">
        <w:t xml:space="preserve"> </w:t>
      </w:r>
      <w:r w:rsidR="00787972" w:rsidRPr="00A35E66">
        <w:t xml:space="preserve"> </w:t>
      </w:r>
      <w:r w:rsidR="008759BB" w:rsidRPr="00A35E66">
        <w:t xml:space="preserve">Generally, the </w:t>
      </w:r>
      <w:r w:rsidR="008B5649" w:rsidRPr="00A35E66">
        <w:t xml:space="preserve">extent of the </w:t>
      </w:r>
      <w:r w:rsidR="008759BB" w:rsidRPr="00A35E66">
        <w:t xml:space="preserve">evidence </w:t>
      </w:r>
      <w:r w:rsidR="00952245" w:rsidRPr="00A35E66">
        <w:t xml:space="preserve">should </w:t>
      </w:r>
      <w:r w:rsidR="00DB0D91" w:rsidRPr="00A35E66">
        <w:t>reflect</w:t>
      </w:r>
      <w:r w:rsidR="00D00087" w:rsidRPr="00A35E66">
        <w:t xml:space="preserve"> </w:t>
      </w:r>
      <w:r w:rsidR="008759BB" w:rsidRPr="00A35E66">
        <w:t xml:space="preserve">the size of </w:t>
      </w:r>
      <w:r w:rsidR="00F57C50" w:rsidRPr="00A35E66">
        <w:t>the variation sought.  M</w:t>
      </w:r>
      <w:r w:rsidR="008759BB" w:rsidRPr="00A35E66">
        <w:t xml:space="preserve">ore complex applications or </w:t>
      </w:r>
      <w:r w:rsidR="00D00087" w:rsidRPr="00A35E66">
        <w:t>r</w:t>
      </w:r>
      <w:r w:rsidR="008759BB" w:rsidRPr="00A35E66">
        <w:t>equest</w:t>
      </w:r>
      <w:r w:rsidR="00D00087" w:rsidRPr="00A35E66">
        <w:t xml:space="preserve">s </w:t>
      </w:r>
      <w:proofErr w:type="gramStart"/>
      <w:r w:rsidR="00D00087" w:rsidRPr="00A35E66">
        <w:t xml:space="preserve">for </w:t>
      </w:r>
      <w:r w:rsidR="001F1E22" w:rsidRPr="00A35E66">
        <w:t xml:space="preserve"> a</w:t>
      </w:r>
      <w:proofErr w:type="gramEnd"/>
      <w:r w:rsidR="001F1E22" w:rsidRPr="00A35E66">
        <w:t xml:space="preserve"> </w:t>
      </w:r>
      <w:r w:rsidR="00D00087" w:rsidRPr="00A35E66">
        <w:t>h</w:t>
      </w:r>
      <w:r w:rsidR="008759BB" w:rsidRPr="00A35E66">
        <w:t>igh cumulative percentage increase</w:t>
      </w:r>
      <w:r w:rsidR="00D00087" w:rsidRPr="00A35E66">
        <w:t xml:space="preserve"> should be supported by s</w:t>
      </w:r>
      <w:r w:rsidR="00D026FE" w:rsidRPr="00A35E66">
        <w:t>tronger</w:t>
      </w:r>
      <w:r w:rsidR="00BE4076" w:rsidRPr="00A35E66">
        <w:t xml:space="preserve">, more extensive </w:t>
      </w:r>
      <w:r w:rsidR="005E16D0" w:rsidRPr="00A35E66">
        <w:t>evidence</w:t>
      </w:r>
      <w:r w:rsidR="00D00087" w:rsidRPr="00A35E66">
        <w:t>.</w:t>
      </w:r>
    </w:p>
    <w:p w:rsidR="008759BB" w:rsidRPr="00A35E66" w:rsidRDefault="008759BB" w:rsidP="008759BB">
      <w:pPr>
        <w:pStyle w:val="BodyText"/>
        <w:spacing w:before="200"/>
      </w:pPr>
      <w:r w:rsidRPr="00A35E66">
        <w:t>Councils may submit additional supporting documents as attachments to the application</w:t>
      </w:r>
      <w:r w:rsidR="006E67A4" w:rsidRPr="00A35E66">
        <w:t xml:space="preserve"> (refer to section 8)</w:t>
      </w:r>
      <w:r w:rsidRPr="00A35E66">
        <w:t xml:space="preserve">.  These should be clearly identified in Part B and cross-referenced.  We prefer to receive relevant extracts rather than complete publications, unless the complete publication is relevant to the criteria.  </w:t>
      </w:r>
      <w:r w:rsidR="000705E4" w:rsidRPr="00A35E66">
        <w:t>You should p</w:t>
      </w:r>
      <w:r w:rsidRPr="00A35E66">
        <w:t>rovide details of how we can access the complete publication should this be necessary.</w:t>
      </w:r>
    </w:p>
    <w:p w:rsidR="00B8498C" w:rsidRDefault="00BD03FB" w:rsidP="00D60EA5">
      <w:pPr>
        <w:pStyle w:val="BodyText"/>
        <w:spacing w:before="200"/>
      </w:pPr>
      <w:r w:rsidRPr="00A35E66">
        <w:t xml:space="preserve">We </w:t>
      </w:r>
      <w:r w:rsidR="00D60EA5" w:rsidRPr="00A35E66">
        <w:t xml:space="preserve">publish Fact Sheets on </w:t>
      </w:r>
      <w:r w:rsidR="00135E94" w:rsidRPr="00A35E66">
        <w:t xml:space="preserve">how </w:t>
      </w:r>
      <w:r w:rsidR="00B417F9" w:rsidRPr="00A35E66">
        <w:t>IPART</w:t>
      </w:r>
      <w:r w:rsidR="00A916AA" w:rsidRPr="00A35E66">
        <w:t xml:space="preserve"> assesses </w:t>
      </w:r>
      <w:r w:rsidR="00D60EA5" w:rsidRPr="00A35E66">
        <w:t xml:space="preserve">special variations and on the nature of community engagement for special variation applications.  </w:t>
      </w:r>
      <w:r w:rsidRPr="00A35E66">
        <w:t>These will assist in prepar</w:t>
      </w:r>
      <w:r w:rsidR="002245AF" w:rsidRPr="00A35E66">
        <w:t>ing</w:t>
      </w:r>
      <w:r w:rsidRPr="00A35E66">
        <w:t xml:space="preserve"> the application. </w:t>
      </w:r>
      <w:r w:rsidR="00D60EA5" w:rsidRPr="00A35E66">
        <w:t xml:space="preserve">The latest Fact Sheets on these topics are dated </w:t>
      </w:r>
      <w:r w:rsidR="000705E4" w:rsidRPr="00A35E66">
        <w:t>October</w:t>
      </w:r>
      <w:r w:rsidR="00D60EA5" w:rsidRPr="00A35E66">
        <w:t xml:space="preserve"> </w:t>
      </w:r>
      <w:r w:rsidR="005E678C" w:rsidRPr="00A35E66">
        <w:t>2014 and</w:t>
      </w:r>
      <w:r w:rsidR="00547A5C" w:rsidRPr="00A35E66">
        <w:t xml:space="preserve"> </w:t>
      </w:r>
      <w:r w:rsidR="00D60EA5" w:rsidRPr="00A35E66">
        <w:t xml:space="preserve">are available on </w:t>
      </w:r>
      <w:r w:rsidR="00B417F9" w:rsidRPr="00A35E66">
        <w:t xml:space="preserve">IPART’s </w:t>
      </w:r>
      <w:r w:rsidR="00D60EA5" w:rsidRPr="00A35E66">
        <w:t>website</w:t>
      </w:r>
      <w:r w:rsidR="00952245" w:rsidRPr="00A35E66">
        <w:t>.</w:t>
      </w:r>
      <w:r w:rsidR="00952245" w:rsidRPr="00A35E66">
        <w:rPr>
          <w:rStyle w:val="FootnoteReference"/>
        </w:rPr>
        <w:footnoteReference w:id="2"/>
      </w:r>
      <w:r w:rsidR="00D60EA5" w:rsidRPr="00A35E66">
        <w:t xml:space="preserve"> </w:t>
      </w:r>
    </w:p>
    <w:p w:rsidR="00D60EA5" w:rsidRPr="00A35E66" w:rsidRDefault="00D60EA5" w:rsidP="00D60EA5">
      <w:pPr>
        <w:pStyle w:val="BodyText"/>
        <w:spacing w:before="200"/>
      </w:pPr>
      <w:r w:rsidRPr="00A35E66">
        <w:t>We may ask for additional information to assist us in making our assessment.  If this is necessary, we will contact the nominated council officer.</w:t>
      </w:r>
    </w:p>
    <w:p w:rsidR="00D60EA5" w:rsidRPr="00A35E66" w:rsidRDefault="00D60EA5" w:rsidP="00D60EA5">
      <w:pPr>
        <w:pStyle w:val="BodyText"/>
        <w:keepNext/>
        <w:spacing w:before="200"/>
      </w:pPr>
      <w:r w:rsidRPr="00A35E66">
        <w:lastRenderedPageBreak/>
        <w:t>This application form consists of:</w:t>
      </w:r>
    </w:p>
    <w:p w:rsidR="00D60EA5" w:rsidRPr="00A35E66" w:rsidRDefault="00D60EA5" w:rsidP="00D60EA5">
      <w:pPr>
        <w:pStyle w:val="ListBullet"/>
        <w:keepNext/>
      </w:pPr>
      <w:r w:rsidRPr="00A35E66">
        <w:t xml:space="preserve">Section 2 </w:t>
      </w:r>
      <w:r w:rsidR="000D36F7" w:rsidRPr="00A35E66">
        <w:t>–</w:t>
      </w:r>
      <w:r w:rsidRPr="00A35E66">
        <w:t xml:space="preserve"> </w:t>
      </w:r>
      <w:r w:rsidR="000D36F7" w:rsidRPr="00A35E66">
        <w:t>Preliminaries</w:t>
      </w:r>
    </w:p>
    <w:p w:rsidR="00D60EA5" w:rsidRPr="00A35E66" w:rsidRDefault="00D60EA5" w:rsidP="00D60EA5">
      <w:pPr>
        <w:pStyle w:val="ListBullet"/>
        <w:keepNext/>
      </w:pPr>
      <w:r w:rsidRPr="00A35E66">
        <w:t>Section 3 – Assessment criterion 1</w:t>
      </w:r>
    </w:p>
    <w:p w:rsidR="00D60EA5" w:rsidRPr="00A35E66" w:rsidRDefault="00D60EA5" w:rsidP="00D60EA5">
      <w:pPr>
        <w:pStyle w:val="ListBullet"/>
        <w:keepNext/>
      </w:pPr>
      <w:r w:rsidRPr="00A35E66">
        <w:t>Section 4 – Assessment criterion 2</w:t>
      </w:r>
    </w:p>
    <w:p w:rsidR="00D60EA5" w:rsidRPr="00A35E66" w:rsidRDefault="00D60EA5" w:rsidP="00D60EA5">
      <w:pPr>
        <w:pStyle w:val="ListBullet"/>
        <w:keepNext/>
      </w:pPr>
      <w:r w:rsidRPr="00A35E66">
        <w:t>Section 5 – Assessment criterion 3</w:t>
      </w:r>
    </w:p>
    <w:p w:rsidR="00D60EA5" w:rsidRPr="00A35E66" w:rsidRDefault="00D60EA5" w:rsidP="00D60EA5">
      <w:pPr>
        <w:pStyle w:val="ListBullet"/>
        <w:keepNext/>
      </w:pPr>
      <w:r w:rsidRPr="00A35E66">
        <w:t>Section 6 – Assessment criterion 4</w:t>
      </w:r>
    </w:p>
    <w:p w:rsidR="00D60EA5" w:rsidRPr="00A35E66" w:rsidRDefault="00D60EA5" w:rsidP="00D60EA5">
      <w:pPr>
        <w:pStyle w:val="ListBullet"/>
        <w:keepNext/>
      </w:pPr>
      <w:r w:rsidRPr="00A35E66">
        <w:t>Section 7 – Assessment criterion 5</w:t>
      </w:r>
    </w:p>
    <w:p w:rsidR="00D60EA5" w:rsidRPr="00A35E66" w:rsidRDefault="00547A5C" w:rsidP="00D60EA5">
      <w:pPr>
        <w:pStyle w:val="ListBullet"/>
        <w:keepNext/>
      </w:pPr>
      <w:r w:rsidRPr="00A35E66">
        <w:t>Section 8 –</w:t>
      </w:r>
      <w:r w:rsidR="00266497" w:rsidRPr="00A35E66">
        <w:t xml:space="preserve"> </w:t>
      </w:r>
      <w:r w:rsidR="00446CA1" w:rsidRPr="00A35E66">
        <w:t>List of attachments</w:t>
      </w:r>
    </w:p>
    <w:p w:rsidR="00446CA1" w:rsidRPr="00A35E66" w:rsidRDefault="00D60EA5" w:rsidP="00446CA1">
      <w:pPr>
        <w:pStyle w:val="ListBullet"/>
        <w:keepNext/>
      </w:pPr>
      <w:r w:rsidRPr="00A35E66">
        <w:t xml:space="preserve">Section </w:t>
      </w:r>
      <w:r w:rsidR="00266497" w:rsidRPr="00A35E66">
        <w:t>9</w:t>
      </w:r>
      <w:r w:rsidRPr="00A35E66">
        <w:t xml:space="preserve"> –</w:t>
      </w:r>
      <w:r w:rsidR="00446CA1" w:rsidRPr="00A35E66">
        <w:t xml:space="preserve"> Certification.</w:t>
      </w:r>
    </w:p>
    <w:p w:rsidR="00D60EA5" w:rsidRPr="00A35E66" w:rsidRDefault="004739D9" w:rsidP="00D60EA5">
      <w:pPr>
        <w:pStyle w:val="Heading2"/>
      </w:pPr>
      <w:bookmarkStart w:id="2" w:name="_Toc366160403"/>
      <w:bookmarkStart w:id="3" w:name="_Toc401138361"/>
      <w:r w:rsidRPr="00A35E66">
        <w:t xml:space="preserve">Using the </w:t>
      </w:r>
      <w:r w:rsidR="00B86F58" w:rsidRPr="00A35E66">
        <w:t xml:space="preserve">Council </w:t>
      </w:r>
      <w:r w:rsidRPr="00A35E66">
        <w:t>Portal to s</w:t>
      </w:r>
      <w:r w:rsidR="00D60EA5" w:rsidRPr="00A35E66">
        <w:t>ubmit the application</w:t>
      </w:r>
      <w:bookmarkEnd w:id="2"/>
      <w:bookmarkEnd w:id="3"/>
    </w:p>
    <w:p w:rsidR="00D60EA5" w:rsidRPr="00A35E66" w:rsidRDefault="004739D9" w:rsidP="00D60EA5">
      <w:pPr>
        <w:pStyle w:val="BodyText"/>
        <w:spacing w:before="200"/>
      </w:pPr>
      <w:r w:rsidRPr="00A35E66">
        <w:t>A</w:t>
      </w:r>
      <w:r w:rsidR="00D60EA5" w:rsidRPr="00A35E66">
        <w:t xml:space="preserve">ll councils intending to apply for a special variation </w:t>
      </w:r>
      <w:r w:rsidRPr="00A35E66">
        <w:t xml:space="preserve">must </w:t>
      </w:r>
      <w:r w:rsidR="00D60EA5" w:rsidRPr="00A35E66">
        <w:t xml:space="preserve">use the Council Portal on </w:t>
      </w:r>
      <w:r w:rsidR="00B417F9" w:rsidRPr="00A35E66">
        <w:t>IPART’s</w:t>
      </w:r>
      <w:r w:rsidR="00D60EA5" w:rsidRPr="00A35E66">
        <w:t xml:space="preserve"> website to register as an applicant council and to submit </w:t>
      </w:r>
      <w:r w:rsidR="00CB118B" w:rsidRPr="00A35E66">
        <w:t xml:space="preserve">an </w:t>
      </w:r>
      <w:r w:rsidR="00D60EA5" w:rsidRPr="00A35E66">
        <w:t>application.</w:t>
      </w:r>
    </w:p>
    <w:p w:rsidR="002245AF" w:rsidRPr="00A35E66" w:rsidRDefault="00D60EA5" w:rsidP="00D60EA5">
      <w:pPr>
        <w:pStyle w:val="BodyText"/>
        <w:spacing w:before="200"/>
      </w:pPr>
      <w:r w:rsidRPr="00A35E66">
        <w:t xml:space="preserve">The Portal is at </w:t>
      </w:r>
      <w:hyperlink r:id="rId18" w:history="1">
        <w:r w:rsidRPr="00A35E66">
          <w:rPr>
            <w:rStyle w:val="Hyperlink"/>
          </w:rPr>
          <w:t>http://www.ipart.nsw.gov.au/Home/Industries/Local_Govt</w:t>
        </w:r>
      </w:hyperlink>
      <w:r w:rsidRPr="00A35E66">
        <w:t xml:space="preserve">.  </w:t>
      </w:r>
      <w:r w:rsidR="00961EA3" w:rsidRPr="00A35E66">
        <w:t>The</w:t>
      </w:r>
      <w:r w:rsidR="00282166" w:rsidRPr="00A35E66">
        <w:t xml:space="preserve"> </w:t>
      </w:r>
      <w:hyperlink r:id="rId19" w:history="1">
        <w:r w:rsidRPr="00A35E66">
          <w:rPr>
            <w:rStyle w:val="Hyperlink"/>
          </w:rPr>
          <w:t>User Guide</w:t>
        </w:r>
      </w:hyperlink>
      <w:r w:rsidRPr="00A35E66">
        <w:rPr>
          <w:rStyle w:val="Hyperlink"/>
        </w:rPr>
        <w:t xml:space="preserve"> </w:t>
      </w:r>
      <w:r w:rsidRPr="00A35E66">
        <w:t xml:space="preserve">for the Portal will assist </w:t>
      </w:r>
      <w:r w:rsidR="006318F4" w:rsidRPr="00A35E66">
        <w:t xml:space="preserve">you </w:t>
      </w:r>
      <w:r w:rsidRPr="00A35E66">
        <w:t xml:space="preserve">with the registration and </w:t>
      </w:r>
      <w:r w:rsidR="006607B9" w:rsidRPr="00A35E66">
        <w:t>online submission process.</w:t>
      </w:r>
      <w:r w:rsidR="002245AF" w:rsidRPr="00A35E66">
        <w:t xml:space="preserve">  If you experience difficulties please contact </w:t>
      </w:r>
      <w:proofErr w:type="spellStart"/>
      <w:r w:rsidR="002245AF" w:rsidRPr="00A35E66">
        <w:t>Himali</w:t>
      </w:r>
      <w:proofErr w:type="spellEnd"/>
      <w:r w:rsidR="002245AF" w:rsidRPr="00A35E66">
        <w:t xml:space="preserve"> </w:t>
      </w:r>
      <w:proofErr w:type="spellStart"/>
      <w:r w:rsidR="002245AF" w:rsidRPr="00A35E66">
        <w:t>Ranasinghe</w:t>
      </w:r>
      <w:proofErr w:type="spellEnd"/>
      <w:r w:rsidR="002245AF" w:rsidRPr="00A35E66">
        <w:t xml:space="preserve"> on</w:t>
      </w:r>
      <w:r w:rsidR="00F57C50" w:rsidRPr="00A35E66">
        <w:t xml:space="preserve"> (02)</w:t>
      </w:r>
      <w:r w:rsidR="002245AF" w:rsidRPr="00A35E66">
        <w:t xml:space="preserve"> 9113 7710 or by email </w:t>
      </w:r>
      <w:hyperlink r:id="rId20" w:history="1">
        <w:r w:rsidR="002245AF" w:rsidRPr="00A35E66">
          <w:rPr>
            <w:rStyle w:val="Hyperlink"/>
          </w:rPr>
          <w:t>himali_ranasinghe@ipart.nsw.gov.au</w:t>
        </w:r>
      </w:hyperlink>
    </w:p>
    <w:p w:rsidR="00D60EA5" w:rsidRPr="00A35E66" w:rsidRDefault="00D60EA5" w:rsidP="00D60EA5">
      <w:pPr>
        <w:pStyle w:val="BodyText"/>
        <w:spacing w:before="200"/>
        <w:rPr>
          <w:b/>
        </w:rPr>
      </w:pPr>
      <w:r w:rsidRPr="00A35E66">
        <w:rPr>
          <w:rFonts w:cs="Arial"/>
          <w:color w:val="000000"/>
        </w:rPr>
        <w:t xml:space="preserve">Councils intending to submit an application </w:t>
      </w:r>
      <w:r w:rsidR="00961EA3" w:rsidRPr="00A35E66">
        <w:rPr>
          <w:rFonts w:cs="Arial"/>
          <w:color w:val="000000"/>
        </w:rPr>
        <w:t xml:space="preserve">under either section 508(2) or section 508A must </w:t>
      </w:r>
      <w:r w:rsidRPr="00A35E66">
        <w:rPr>
          <w:rFonts w:cs="Arial"/>
          <w:color w:val="000000"/>
        </w:rPr>
        <w:t xml:space="preserve">notify us of their intention to apply </w:t>
      </w:r>
      <w:r w:rsidRPr="00A35E66">
        <w:t xml:space="preserve">by </w:t>
      </w:r>
      <w:r w:rsidR="002245AF" w:rsidRPr="00A35E66">
        <w:rPr>
          <w:b/>
        </w:rPr>
        <w:t>COB</w:t>
      </w:r>
      <w:r w:rsidRPr="00A35E66">
        <w:rPr>
          <w:b/>
        </w:rPr>
        <w:t xml:space="preserve"> Friday</w:t>
      </w:r>
      <w:r w:rsidR="00C108DF" w:rsidRPr="00A35E66">
        <w:rPr>
          <w:b/>
        </w:rPr>
        <w:t>,</w:t>
      </w:r>
      <w:r w:rsidRPr="00A35E66">
        <w:rPr>
          <w:b/>
        </w:rPr>
        <w:t xml:space="preserve"> 1</w:t>
      </w:r>
      <w:r w:rsidR="00043964" w:rsidRPr="00A35E66">
        <w:rPr>
          <w:b/>
        </w:rPr>
        <w:t>2</w:t>
      </w:r>
      <w:r w:rsidRPr="00A35E66">
        <w:rPr>
          <w:b/>
        </w:rPr>
        <w:t xml:space="preserve"> December 201</w:t>
      </w:r>
      <w:r w:rsidR="00043964" w:rsidRPr="00A35E66">
        <w:rPr>
          <w:b/>
        </w:rPr>
        <w:t>4</w:t>
      </w:r>
      <w:r w:rsidRPr="00A35E66">
        <w:rPr>
          <w:b/>
        </w:rPr>
        <w:t>.</w:t>
      </w:r>
      <w:r w:rsidRPr="00A35E66">
        <w:t xml:space="preserve"> </w:t>
      </w:r>
    </w:p>
    <w:p w:rsidR="00D60EA5" w:rsidRPr="00A35E66" w:rsidRDefault="00D60EA5" w:rsidP="00D60EA5">
      <w:pPr>
        <w:pStyle w:val="BodyText"/>
        <w:spacing w:before="200"/>
      </w:pPr>
      <w:r w:rsidRPr="00A35E66">
        <w:rPr>
          <w:rFonts w:cs="Arial"/>
          <w:color w:val="000000"/>
        </w:rPr>
        <w:t>Councils should submit their applications</w:t>
      </w:r>
      <w:r w:rsidRPr="00A35E66">
        <w:t xml:space="preserve"> via the Portal.  File size limits apply to each part of the application.  For Part B the l</w:t>
      </w:r>
      <w:r w:rsidR="00F57C50" w:rsidRPr="00A35E66">
        <w:t>imit is 10MB.  The limit for</w:t>
      </w:r>
      <w:r w:rsidRPr="00A35E66">
        <w:t xml:space="preserve"> supporting documents is 70MB for public documents and 50MB for confidential documents.  These file limits should be sufficient for your application.  </w:t>
      </w:r>
      <w:r w:rsidR="000705E4" w:rsidRPr="00A35E66">
        <w:t>Please c</w:t>
      </w:r>
      <w:r w:rsidRPr="00A35E66">
        <w:t>ontact us if they are not.</w:t>
      </w:r>
      <w:r w:rsidR="00B8498C">
        <w:t xml:space="preserve"> </w:t>
      </w:r>
      <w:r w:rsidRPr="00A35E66">
        <w:t xml:space="preserve">We ask that councils </w:t>
      </w:r>
      <w:r w:rsidR="001A417F" w:rsidRPr="00A35E66">
        <w:t xml:space="preserve">also </w:t>
      </w:r>
      <w:r w:rsidRPr="00A35E66">
        <w:t xml:space="preserve">submit </w:t>
      </w:r>
      <w:r w:rsidR="00183983" w:rsidRPr="00A35E66">
        <w:t xml:space="preserve">one hard copy of </w:t>
      </w:r>
      <w:r w:rsidRPr="00A35E66">
        <w:t xml:space="preserve">their application to us (with a table of contents and appropriate cross referencing of attachments).  </w:t>
      </w:r>
      <w:r w:rsidR="00575B08" w:rsidRPr="00A35E66">
        <w:t>Note, e</w:t>
      </w:r>
      <w:r w:rsidR="00B86F58" w:rsidRPr="00A35E66">
        <w:t>arly in 2015</w:t>
      </w:r>
      <w:r w:rsidR="00AB3E79" w:rsidRPr="00A35E66">
        <w:t xml:space="preserve"> IPART </w:t>
      </w:r>
      <w:r w:rsidR="00B86F58" w:rsidRPr="00A35E66">
        <w:t xml:space="preserve">will be relocating to the following </w:t>
      </w:r>
      <w:r w:rsidRPr="00A35E66">
        <w:t>address:</w:t>
      </w:r>
    </w:p>
    <w:p w:rsidR="00B8498C" w:rsidRDefault="00D60EA5" w:rsidP="008B0EF1">
      <w:pPr>
        <w:pStyle w:val="BodyText"/>
        <w:ind w:left="720"/>
        <w:jc w:val="left"/>
      </w:pPr>
      <w:r w:rsidRPr="00A35E66">
        <w:t>Local Government Team</w:t>
      </w:r>
      <w:r w:rsidRPr="00A35E66">
        <w:br/>
        <w:t>Independent Pricing and Regulatory Tribunal</w:t>
      </w:r>
      <w:r w:rsidR="006950D4" w:rsidRPr="00A35E66">
        <w:br/>
        <w:t xml:space="preserve">PO Box K35, </w:t>
      </w:r>
      <w:r w:rsidR="00092865" w:rsidRPr="00A35E66">
        <w:br/>
      </w:r>
      <w:r w:rsidR="006950D4" w:rsidRPr="00A35E66">
        <w:t>Haymarket Post Shop</w:t>
      </w:r>
      <w:r w:rsidR="00127883" w:rsidRPr="00A35E66">
        <w:t xml:space="preserve"> </w:t>
      </w:r>
      <w:r w:rsidR="00092865" w:rsidRPr="00A35E66">
        <w:t>NSW</w:t>
      </w:r>
      <w:r w:rsidR="00127883" w:rsidRPr="00A35E66">
        <w:t xml:space="preserve"> </w:t>
      </w:r>
      <w:r w:rsidR="004C409E" w:rsidRPr="00A35E66">
        <w:t>1230</w:t>
      </w:r>
    </w:p>
    <w:p w:rsidR="00D60EA5" w:rsidRDefault="00D60EA5" w:rsidP="00B8498C">
      <w:pPr>
        <w:pStyle w:val="BodyText"/>
        <w:jc w:val="left"/>
        <w:rPr>
          <w:b/>
        </w:rPr>
      </w:pPr>
      <w:r w:rsidRPr="00A35E66">
        <w:t xml:space="preserve">We must receive your application via the Council Portal no later than </w:t>
      </w:r>
      <w:r w:rsidR="006036D6" w:rsidRPr="00A35E66">
        <w:rPr>
          <w:b/>
        </w:rPr>
        <w:t>COB</w:t>
      </w:r>
      <w:r w:rsidRPr="00A35E66">
        <w:rPr>
          <w:b/>
        </w:rPr>
        <w:t xml:space="preserve"> Monday</w:t>
      </w:r>
      <w:r w:rsidR="006036D6" w:rsidRPr="00A35E66">
        <w:rPr>
          <w:b/>
        </w:rPr>
        <w:t>,</w:t>
      </w:r>
      <w:r w:rsidRPr="00A35E66">
        <w:rPr>
          <w:b/>
        </w:rPr>
        <w:t xml:space="preserve"> </w:t>
      </w:r>
      <w:r w:rsidR="00183983" w:rsidRPr="00A35E66">
        <w:rPr>
          <w:b/>
        </w:rPr>
        <w:t>16</w:t>
      </w:r>
      <w:r w:rsidRPr="00A35E66">
        <w:rPr>
          <w:b/>
        </w:rPr>
        <w:t xml:space="preserve"> February 201</w:t>
      </w:r>
      <w:r w:rsidR="00094297" w:rsidRPr="00A35E66">
        <w:rPr>
          <w:b/>
        </w:rPr>
        <w:t>5</w:t>
      </w:r>
      <w:r w:rsidRPr="00A35E66">
        <w:rPr>
          <w:b/>
        </w:rPr>
        <w:t>.</w:t>
      </w:r>
    </w:p>
    <w:p w:rsidR="004E6E5B" w:rsidRPr="00A35E66" w:rsidRDefault="004E6E5B" w:rsidP="00B8498C">
      <w:pPr>
        <w:pStyle w:val="BodyText"/>
        <w:jc w:val="left"/>
      </w:pPr>
    </w:p>
    <w:p w:rsidR="0078506E" w:rsidRPr="00A35E66" w:rsidRDefault="00D60EA5" w:rsidP="00D60EA5">
      <w:pPr>
        <w:pStyle w:val="BodyText"/>
        <w:spacing w:before="200"/>
      </w:pPr>
      <w:r w:rsidRPr="00A35E66">
        <w:lastRenderedPageBreak/>
        <w:t xml:space="preserve">We will post all applications (excluding confidential </w:t>
      </w:r>
      <w:r w:rsidR="00575B08" w:rsidRPr="00A35E66">
        <w:t>content</w:t>
      </w:r>
      <w:r w:rsidRPr="00A35E66">
        <w:t xml:space="preserve">) on </w:t>
      </w:r>
      <w:r w:rsidR="00B417F9" w:rsidRPr="00A35E66">
        <w:t>the IPART</w:t>
      </w:r>
      <w:r w:rsidRPr="00A35E66">
        <w:t xml:space="preserve"> website.  </w:t>
      </w:r>
      <w:r w:rsidR="0078506E" w:rsidRPr="00A35E66">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do not expose confidential content.</w:t>
      </w:r>
    </w:p>
    <w:p w:rsidR="0060289A" w:rsidRPr="00A35E66" w:rsidRDefault="00D60EA5" w:rsidP="00D60EA5">
      <w:pPr>
        <w:pStyle w:val="BodyText"/>
        <w:spacing w:before="200"/>
      </w:pPr>
      <w:r w:rsidRPr="00A35E66">
        <w:t xml:space="preserve">Councils should also post their application on their own website for the community to </w:t>
      </w:r>
      <w:r w:rsidR="00C108DF" w:rsidRPr="00A35E66">
        <w:t>access</w:t>
      </w:r>
      <w:r w:rsidRPr="00A35E66">
        <w:t>.</w:t>
      </w:r>
    </w:p>
    <w:p w:rsidR="000F359C" w:rsidRPr="00A35E66" w:rsidRDefault="007C0BD4" w:rsidP="006607B9">
      <w:pPr>
        <w:pStyle w:val="Heading1"/>
      </w:pPr>
      <w:bookmarkStart w:id="4" w:name="_Toc401138362"/>
      <w:r w:rsidRPr="00A35E66">
        <w:t>P</w:t>
      </w:r>
      <w:r w:rsidR="0020452B" w:rsidRPr="00A35E66">
        <w:t>reliminaries</w:t>
      </w:r>
      <w:bookmarkEnd w:id="4"/>
    </w:p>
    <w:p w:rsidR="0020452B" w:rsidRPr="00A35E66" w:rsidRDefault="0020452B" w:rsidP="0020452B">
      <w:pPr>
        <w:pStyle w:val="Heading2"/>
      </w:pPr>
      <w:bookmarkStart w:id="5" w:name="_Toc401138363"/>
      <w:r w:rsidRPr="00A35E66">
        <w:t>Focus on Integrated Planning and Reporting</w:t>
      </w:r>
      <w:bookmarkEnd w:id="5"/>
    </w:p>
    <w:p w:rsidR="00452CBD" w:rsidRPr="00A35E66" w:rsidRDefault="00F57C50" w:rsidP="00D60EA5">
      <w:pPr>
        <w:pStyle w:val="BodyText"/>
      </w:pPr>
      <w:r w:rsidRPr="00A35E66">
        <w:t>Councils must identify</w:t>
      </w:r>
      <w:r w:rsidR="00A32F79" w:rsidRPr="00A35E66">
        <w:t xml:space="preserve"> the need for</w:t>
      </w:r>
      <w:r w:rsidR="00D60EA5" w:rsidRPr="00A35E66">
        <w:t xml:space="preserve"> a special </w:t>
      </w:r>
      <w:r w:rsidRPr="00A35E66">
        <w:t xml:space="preserve">variation </w:t>
      </w:r>
      <w:r w:rsidR="00834504" w:rsidRPr="00A35E66">
        <w:t xml:space="preserve">to their General </w:t>
      </w:r>
      <w:proofErr w:type="gramStart"/>
      <w:r w:rsidR="00834504" w:rsidRPr="00A35E66">
        <w:t>Fund’s  rates</w:t>
      </w:r>
      <w:proofErr w:type="gramEnd"/>
      <w:r w:rsidR="00834504" w:rsidRPr="00A35E66">
        <w:t xml:space="preserve"> revenue </w:t>
      </w:r>
      <w:r w:rsidRPr="00A35E66">
        <w:t>as part of their</w:t>
      </w:r>
      <w:r w:rsidR="00D60EA5" w:rsidRPr="00A35E66">
        <w:t xml:space="preserve"> Integrated Planning and Reporting (IP&amp;R) process</w:t>
      </w:r>
      <w:r w:rsidR="00452CBD" w:rsidRPr="00A35E66">
        <w:t>.</w:t>
      </w:r>
      <w:r w:rsidR="00452CBD" w:rsidRPr="00A35E66">
        <w:rPr>
          <w:rStyle w:val="FootnoteReference"/>
        </w:rPr>
        <w:footnoteReference w:id="3"/>
      </w:r>
      <w:r w:rsidR="00345C90" w:rsidRPr="00A35E66">
        <w:t xml:space="preserve"> </w:t>
      </w:r>
      <w:r w:rsidR="00A542AB" w:rsidRPr="00A35E66">
        <w:t xml:space="preserve"> The IP&amp;R documents will need to be publicly exhibited and adopted by the council prior to it submitting its application to us.  </w:t>
      </w:r>
      <w:r w:rsidR="004A5187" w:rsidRPr="00A35E66">
        <w:t>Also refer</w:t>
      </w:r>
      <w:r w:rsidR="00A542AB" w:rsidRPr="00A35E66">
        <w:t xml:space="preserve"> to</w:t>
      </w:r>
      <w:r w:rsidR="006958FA" w:rsidRPr="00A35E66">
        <w:t xml:space="preserve"> section 6</w:t>
      </w:r>
      <w:r w:rsidR="00A542AB" w:rsidRPr="00A35E66">
        <w:t xml:space="preserve"> </w:t>
      </w:r>
      <w:r w:rsidR="004A5187" w:rsidRPr="00A35E66">
        <w:t>for a more detailed explanation</w:t>
      </w:r>
      <w:r w:rsidR="006958FA" w:rsidRPr="00A35E66">
        <w:t>.</w:t>
      </w:r>
    </w:p>
    <w:p w:rsidR="00D60EA5" w:rsidRPr="00A35E66" w:rsidRDefault="00D60EA5" w:rsidP="00D60EA5">
      <w:pPr>
        <w:pStyle w:val="BodyText"/>
      </w:pPr>
      <w:r w:rsidRPr="00A35E66">
        <w:t>The key IP&amp;R documents are the Community Strategic Plan, Delivery Program, Long Term Financial Plan and, where appl</w:t>
      </w:r>
      <w:r w:rsidR="006607B9" w:rsidRPr="00A35E66">
        <w:t xml:space="preserve">icable, </w:t>
      </w:r>
      <w:r w:rsidR="003A65AA" w:rsidRPr="00A35E66">
        <w:t xml:space="preserve">the </w:t>
      </w:r>
      <w:r w:rsidR="006607B9" w:rsidRPr="00A35E66">
        <w:t>Asset Management Plan.</w:t>
      </w:r>
      <w:r w:rsidR="0020452B" w:rsidRPr="00A35E66">
        <w:t xml:space="preserve">  </w:t>
      </w:r>
      <w:r w:rsidRPr="00A35E66">
        <w:t xml:space="preserve">A council’s </w:t>
      </w:r>
      <w:r w:rsidR="000D1A92" w:rsidRPr="00A35E66">
        <w:t>application</w:t>
      </w:r>
      <w:r w:rsidRPr="00A35E66">
        <w:t xml:space="preserve"> may also include supplementary and/or background publications used within its IP</w:t>
      </w:r>
      <w:r w:rsidR="00F57C50" w:rsidRPr="00A35E66">
        <w:t>&amp;R processes.  Y</w:t>
      </w:r>
      <w:r w:rsidRPr="00A35E66">
        <w:t>ou should refer to these documents to support your application for a special variation</w:t>
      </w:r>
      <w:r w:rsidR="00F57C50" w:rsidRPr="00A35E66">
        <w:t xml:space="preserve"> where appropriate</w:t>
      </w:r>
      <w:r w:rsidRPr="00A35E66">
        <w:t>.</w:t>
      </w:r>
    </w:p>
    <w:p w:rsidR="00B157B7" w:rsidRPr="00A35E66" w:rsidRDefault="00B157B7" w:rsidP="00B157B7">
      <w:pPr>
        <w:pStyle w:val="Heading2"/>
      </w:pPr>
      <w:bookmarkStart w:id="6" w:name="_Toc401138364"/>
      <w:r w:rsidRPr="00A35E66">
        <w:t>Key purpose of special variation</w:t>
      </w:r>
      <w:bookmarkEnd w:id="6"/>
    </w:p>
    <w:p w:rsidR="00B157B7" w:rsidRPr="00A35E66" w:rsidRDefault="00B157B7" w:rsidP="00B157B7">
      <w:pPr>
        <w:pStyle w:val="BodyText"/>
      </w:pPr>
      <w:r w:rsidRPr="00A35E66">
        <w:t>At the highest level, indicate the key purpose(s) of the special variation by marking one or more of the boxes below with an “x”.</w:t>
      </w:r>
    </w:p>
    <w:p w:rsidR="00B157B7" w:rsidRPr="00A35E66"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993"/>
      </w:tblGrid>
      <w:tr w:rsidR="00B157B7" w:rsidRPr="00A35E66" w:rsidTr="00452CBD">
        <w:tc>
          <w:tcPr>
            <w:tcW w:w="4644" w:type="dxa"/>
            <w:vAlign w:val="center"/>
          </w:tcPr>
          <w:p w:rsidR="00B157B7" w:rsidRPr="00A35E66" w:rsidRDefault="00B157B7" w:rsidP="00DA3D47">
            <w:pPr>
              <w:pStyle w:val="TableTextEntries"/>
              <w:spacing w:before="60" w:after="60"/>
            </w:pPr>
            <w:r w:rsidRPr="00A35E66">
              <w:t>Maintain existing services</w:t>
            </w:r>
          </w:p>
        </w:tc>
        <w:tc>
          <w:tcPr>
            <w:tcW w:w="993" w:type="dxa"/>
          </w:tcPr>
          <w:p w:rsidR="00B157B7" w:rsidRPr="00A35E66" w:rsidRDefault="0030767F" w:rsidP="00DA3D47">
            <w:pPr>
              <w:pStyle w:val="BodyText"/>
              <w:spacing w:before="60" w:after="60"/>
              <w:jc w:val="center"/>
            </w:pPr>
            <w:r w:rsidRPr="00A35E66">
              <w:fldChar w:fldCharType="begin">
                <w:ffData>
                  <w:name w:val="Check4"/>
                  <w:enabled/>
                  <w:calcOnExit w:val="0"/>
                  <w:checkBox>
                    <w:sizeAuto/>
                    <w:default w:val="0"/>
                  </w:checkBox>
                </w:ffData>
              </w:fldChar>
            </w:r>
            <w:bookmarkStart w:id="7" w:name="Check4"/>
            <w:r w:rsidR="00B157B7" w:rsidRPr="00A35E66">
              <w:instrText xml:space="preserve"> FORMCHECKBOX </w:instrText>
            </w:r>
            <w:r w:rsidRPr="00A35E66">
              <w:fldChar w:fldCharType="end"/>
            </w:r>
            <w:bookmarkEnd w:id="7"/>
          </w:p>
        </w:tc>
      </w:tr>
      <w:tr w:rsidR="00B157B7" w:rsidRPr="00A35E66" w:rsidTr="00452CBD">
        <w:tc>
          <w:tcPr>
            <w:tcW w:w="4644" w:type="dxa"/>
            <w:vAlign w:val="center"/>
          </w:tcPr>
          <w:p w:rsidR="00B157B7" w:rsidRPr="00A35E66" w:rsidRDefault="00B157B7" w:rsidP="00DA3D47">
            <w:pPr>
              <w:pStyle w:val="TableTextEntries"/>
              <w:spacing w:before="60" w:after="60"/>
            </w:pPr>
            <w:r w:rsidRPr="00A35E66">
              <w:t>Enhance financial sustainability</w:t>
            </w:r>
          </w:p>
        </w:tc>
        <w:tc>
          <w:tcPr>
            <w:tcW w:w="993" w:type="dxa"/>
          </w:tcPr>
          <w:p w:rsidR="00B157B7" w:rsidRPr="00A35E66" w:rsidRDefault="0030767F" w:rsidP="00DA3D47">
            <w:pPr>
              <w:pStyle w:val="BodyText"/>
              <w:spacing w:before="60" w:after="60"/>
              <w:jc w:val="center"/>
            </w:pPr>
            <w:r w:rsidRPr="00A35E66">
              <w:fldChar w:fldCharType="begin">
                <w:ffData>
                  <w:name w:val="Check4"/>
                  <w:enabled/>
                  <w:calcOnExit w:val="0"/>
                  <w:checkBox>
                    <w:sizeAuto/>
                    <w:default w:val="0"/>
                  </w:checkBox>
                </w:ffData>
              </w:fldChar>
            </w:r>
            <w:r w:rsidR="00B157B7" w:rsidRPr="00A35E66">
              <w:instrText xml:space="preserve"> FORMCHECKBOX </w:instrText>
            </w:r>
            <w:r w:rsidRPr="00A35E66">
              <w:fldChar w:fldCharType="end"/>
            </w:r>
          </w:p>
        </w:tc>
      </w:tr>
      <w:tr w:rsidR="00B157B7" w:rsidRPr="00A35E66" w:rsidTr="00452CBD">
        <w:tc>
          <w:tcPr>
            <w:tcW w:w="4644" w:type="dxa"/>
            <w:vAlign w:val="center"/>
          </w:tcPr>
          <w:p w:rsidR="00B157B7" w:rsidRPr="00A35E66" w:rsidRDefault="00B157B7" w:rsidP="00DA3D47">
            <w:pPr>
              <w:pStyle w:val="TableTextEntries"/>
              <w:spacing w:before="60" w:after="60"/>
            </w:pPr>
            <w:r w:rsidRPr="00A35E66">
              <w:t xml:space="preserve">Environmental </w:t>
            </w:r>
            <w:r w:rsidR="00183983" w:rsidRPr="00A35E66">
              <w:t xml:space="preserve">services or </w:t>
            </w:r>
            <w:r w:rsidRPr="00A35E66">
              <w:t>works</w:t>
            </w:r>
          </w:p>
        </w:tc>
        <w:tc>
          <w:tcPr>
            <w:tcW w:w="993" w:type="dxa"/>
          </w:tcPr>
          <w:p w:rsidR="00B157B7" w:rsidRPr="00A35E66" w:rsidRDefault="0030767F" w:rsidP="00DA3D47">
            <w:pPr>
              <w:pStyle w:val="BodyText"/>
              <w:spacing w:before="60" w:after="60"/>
              <w:jc w:val="center"/>
            </w:pPr>
            <w:r w:rsidRPr="00A35E66">
              <w:fldChar w:fldCharType="begin">
                <w:ffData>
                  <w:name w:val="Check3"/>
                  <w:enabled/>
                  <w:calcOnExit w:val="0"/>
                  <w:checkBox>
                    <w:sizeAuto/>
                    <w:default w:val="0"/>
                  </w:checkBox>
                </w:ffData>
              </w:fldChar>
            </w:r>
            <w:bookmarkStart w:id="8" w:name="Check3"/>
            <w:r w:rsidR="00B157B7" w:rsidRPr="00A35E66">
              <w:instrText xml:space="preserve"> FORMCHECKBOX </w:instrText>
            </w:r>
            <w:r w:rsidRPr="00A35E66">
              <w:fldChar w:fldCharType="end"/>
            </w:r>
            <w:bookmarkEnd w:id="8"/>
          </w:p>
        </w:tc>
      </w:tr>
      <w:tr w:rsidR="00B157B7" w:rsidRPr="00A35E66" w:rsidTr="00452CBD">
        <w:tc>
          <w:tcPr>
            <w:tcW w:w="4644" w:type="dxa"/>
            <w:vAlign w:val="center"/>
          </w:tcPr>
          <w:p w:rsidR="00B157B7" w:rsidRPr="00A35E66" w:rsidRDefault="00B157B7" w:rsidP="00DA3D47">
            <w:pPr>
              <w:pStyle w:val="TableTextEntries"/>
              <w:spacing w:before="60" w:after="60"/>
            </w:pPr>
            <w:r w:rsidRPr="00A35E66">
              <w:t>Infrastructure maintenance / renewal</w:t>
            </w:r>
          </w:p>
        </w:tc>
        <w:tc>
          <w:tcPr>
            <w:tcW w:w="993" w:type="dxa"/>
          </w:tcPr>
          <w:p w:rsidR="00B157B7" w:rsidRPr="00A35E66" w:rsidRDefault="003C6256" w:rsidP="003C6256">
            <w:pPr>
              <w:pStyle w:val="BodyText"/>
              <w:spacing w:before="60" w:after="60"/>
              <w:jc w:val="center"/>
            </w:pPr>
            <w:r w:rsidRPr="00A35E66">
              <w:t>X</w:t>
            </w:r>
          </w:p>
        </w:tc>
      </w:tr>
      <w:tr w:rsidR="00B157B7" w:rsidRPr="00A35E66" w:rsidTr="00452CBD">
        <w:tc>
          <w:tcPr>
            <w:tcW w:w="4644" w:type="dxa"/>
            <w:vAlign w:val="center"/>
          </w:tcPr>
          <w:p w:rsidR="00B157B7" w:rsidRPr="00A35E66" w:rsidRDefault="00B157B7" w:rsidP="00DA3D47">
            <w:pPr>
              <w:pStyle w:val="TableTextEntries"/>
              <w:spacing w:before="60" w:after="60"/>
            </w:pPr>
            <w:r w:rsidRPr="00A35E66">
              <w:t>Reduce infrastructure backlogs</w:t>
            </w:r>
          </w:p>
        </w:tc>
        <w:tc>
          <w:tcPr>
            <w:tcW w:w="993" w:type="dxa"/>
          </w:tcPr>
          <w:p w:rsidR="00B157B7" w:rsidRPr="00A35E66" w:rsidRDefault="003C6256" w:rsidP="00DA3D47">
            <w:pPr>
              <w:pStyle w:val="BodyText"/>
              <w:spacing w:before="60" w:after="60"/>
              <w:jc w:val="center"/>
            </w:pPr>
            <w:r w:rsidRPr="00A35E66">
              <w:t>X</w:t>
            </w:r>
          </w:p>
        </w:tc>
      </w:tr>
      <w:tr w:rsidR="00B157B7" w:rsidRPr="00A35E66" w:rsidTr="00452CBD">
        <w:tc>
          <w:tcPr>
            <w:tcW w:w="4644" w:type="dxa"/>
            <w:vAlign w:val="center"/>
          </w:tcPr>
          <w:p w:rsidR="00B157B7" w:rsidRPr="00A35E66" w:rsidRDefault="00B157B7" w:rsidP="00DA3D47">
            <w:pPr>
              <w:pStyle w:val="TableTextEntries"/>
              <w:spacing w:before="60" w:after="60"/>
            </w:pPr>
            <w:r w:rsidRPr="00A35E66">
              <w:t>New infrastructure investment</w:t>
            </w:r>
          </w:p>
        </w:tc>
        <w:tc>
          <w:tcPr>
            <w:tcW w:w="993" w:type="dxa"/>
          </w:tcPr>
          <w:p w:rsidR="00B157B7" w:rsidRPr="00A35E66" w:rsidRDefault="0030767F" w:rsidP="00DA3D47">
            <w:pPr>
              <w:pStyle w:val="BodyText"/>
              <w:spacing w:before="60" w:after="60"/>
              <w:jc w:val="center"/>
            </w:pPr>
            <w:r w:rsidRPr="00A35E66">
              <w:fldChar w:fldCharType="begin">
                <w:ffData>
                  <w:name w:val="Check2"/>
                  <w:enabled/>
                  <w:calcOnExit w:val="0"/>
                  <w:checkBox>
                    <w:sizeAuto/>
                    <w:default w:val="0"/>
                    <w:checked w:val="0"/>
                  </w:checkBox>
                </w:ffData>
              </w:fldChar>
            </w:r>
            <w:bookmarkStart w:id="9" w:name="Check2"/>
            <w:r w:rsidR="00B157B7" w:rsidRPr="00A35E66">
              <w:instrText xml:space="preserve"> FORMCHECKBOX </w:instrText>
            </w:r>
            <w:r w:rsidRPr="00A35E66">
              <w:fldChar w:fldCharType="end"/>
            </w:r>
            <w:bookmarkEnd w:id="9"/>
          </w:p>
        </w:tc>
      </w:tr>
      <w:tr w:rsidR="00B157B7" w:rsidRPr="00A35E66" w:rsidTr="00452CBD">
        <w:tc>
          <w:tcPr>
            <w:tcW w:w="4644" w:type="dxa"/>
            <w:vAlign w:val="center"/>
          </w:tcPr>
          <w:p w:rsidR="00B157B7" w:rsidRPr="00A35E66" w:rsidRDefault="00B157B7" w:rsidP="00DA3D47">
            <w:pPr>
              <w:pStyle w:val="TableTextEntries"/>
              <w:spacing w:before="60" w:after="60"/>
            </w:pPr>
            <w:r w:rsidRPr="00A35E66">
              <w:t>Other (specify)</w:t>
            </w:r>
          </w:p>
        </w:tc>
        <w:tc>
          <w:tcPr>
            <w:tcW w:w="993" w:type="dxa"/>
          </w:tcPr>
          <w:p w:rsidR="00B157B7" w:rsidRPr="00A35E66" w:rsidRDefault="0030767F" w:rsidP="00DA3D47">
            <w:pPr>
              <w:pStyle w:val="BodyText"/>
              <w:spacing w:before="60" w:after="60"/>
              <w:jc w:val="center"/>
            </w:pPr>
            <w:r w:rsidRPr="00A35E66">
              <w:fldChar w:fldCharType="begin">
                <w:ffData>
                  <w:name w:val="Check5"/>
                  <w:enabled/>
                  <w:calcOnExit w:val="0"/>
                  <w:checkBox>
                    <w:sizeAuto/>
                    <w:default w:val="0"/>
                  </w:checkBox>
                </w:ffData>
              </w:fldChar>
            </w:r>
            <w:bookmarkStart w:id="10" w:name="Check5"/>
            <w:r w:rsidR="00B157B7" w:rsidRPr="00A35E66">
              <w:instrText xml:space="preserve"> FORMCHECKBOX </w:instrText>
            </w:r>
            <w:r w:rsidRPr="00A35E66">
              <w:fldChar w:fldCharType="end"/>
            </w:r>
            <w:bookmarkEnd w:id="10"/>
          </w:p>
        </w:tc>
      </w:tr>
    </w:tbl>
    <w:p w:rsidR="007F05F6" w:rsidRPr="00A35E66" w:rsidRDefault="008B1F5A" w:rsidP="00D60EA5">
      <w:pPr>
        <w:pStyle w:val="BodyText"/>
      </w:pPr>
      <w:r w:rsidRPr="00A35E66">
        <w:lastRenderedPageBreak/>
        <w:t>You should s</w:t>
      </w:r>
      <w:r w:rsidR="006A0281" w:rsidRPr="00A35E66">
        <w:t xml:space="preserve">ummarise </w:t>
      </w:r>
      <w:r w:rsidR="00B157B7" w:rsidRPr="00A35E66">
        <w:t xml:space="preserve">below the key </w:t>
      </w:r>
      <w:r w:rsidR="006A0281" w:rsidRPr="00A35E66">
        <w:t>aspects of the council’s application</w:t>
      </w:r>
      <w:r w:rsidR="007F05F6" w:rsidRPr="00A35E66">
        <w:t xml:space="preserve">, including the purpose and the </w:t>
      </w:r>
      <w:r w:rsidR="00B157B7" w:rsidRPr="00A35E66">
        <w:t xml:space="preserve">steps undertaken </w:t>
      </w:r>
      <w:r w:rsidR="007F05F6" w:rsidRPr="00A35E66">
        <w:t xml:space="preserve">in </w:t>
      </w:r>
      <w:r w:rsidR="006A0281" w:rsidRPr="00A35E66">
        <w:t>reach</w:t>
      </w:r>
      <w:r w:rsidR="007F05F6" w:rsidRPr="00A35E66">
        <w:t xml:space="preserve">ing </w:t>
      </w:r>
      <w:r w:rsidR="006A0281" w:rsidRPr="00A35E66">
        <w:t xml:space="preserve">a decision to make an application.  </w:t>
      </w:r>
    </w:p>
    <w:p w:rsidR="008F29B2" w:rsidRPr="004C1B98" w:rsidRDefault="00774693" w:rsidP="00DC6F54">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L</w:t>
      </w:r>
      <w:r w:rsidR="008F29B2" w:rsidRPr="004C1B98">
        <w:rPr>
          <w:highlight w:val="yellow"/>
        </w:rPr>
        <w:t xml:space="preserve">ike most Councils </w:t>
      </w:r>
      <w:r w:rsidRPr="004C1B98">
        <w:rPr>
          <w:highlight w:val="yellow"/>
        </w:rPr>
        <w:t>in</w:t>
      </w:r>
      <w:r w:rsidR="008F29B2" w:rsidRPr="004C1B98">
        <w:rPr>
          <w:highlight w:val="yellow"/>
        </w:rPr>
        <w:t xml:space="preserve"> NSW, </w:t>
      </w:r>
      <w:r w:rsidRPr="004C1B98">
        <w:rPr>
          <w:highlight w:val="yellow"/>
        </w:rPr>
        <w:t xml:space="preserve">Marrickville </w:t>
      </w:r>
      <w:r w:rsidR="008F29B2" w:rsidRPr="004C1B98">
        <w:rPr>
          <w:highlight w:val="yellow"/>
        </w:rPr>
        <w:t xml:space="preserve">has an infrastructure asset renewal funding shortfall. The extent of this shortfall is clearly articulated in </w:t>
      </w:r>
      <w:r w:rsidRPr="004C1B98">
        <w:rPr>
          <w:highlight w:val="yellow"/>
        </w:rPr>
        <w:t>its</w:t>
      </w:r>
      <w:r w:rsidR="008F29B2" w:rsidRPr="004C1B98">
        <w:rPr>
          <w:highlight w:val="yellow"/>
        </w:rPr>
        <w:t xml:space="preserve"> suite of Integrated Planning and Reporting documents, particularly the </w:t>
      </w:r>
      <w:r w:rsidRPr="004C1B98">
        <w:rPr>
          <w:highlight w:val="yellow"/>
        </w:rPr>
        <w:t xml:space="preserve">Resource Strategy, Delivery Program, </w:t>
      </w:r>
      <w:r w:rsidR="008F29B2" w:rsidRPr="004C1B98">
        <w:rPr>
          <w:highlight w:val="yellow"/>
        </w:rPr>
        <w:t xml:space="preserve">Asset Management Plans and Long Term Financial Plan. </w:t>
      </w:r>
    </w:p>
    <w:p w:rsidR="008F29B2" w:rsidRPr="004C1B98" w:rsidRDefault="003615FF" w:rsidP="00DC6F54">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As at 30 June 2014, Council reported an infrastructure asset renewal funding shortfall of approximately </w:t>
      </w:r>
      <w:r w:rsidRPr="004C1B98">
        <w:rPr>
          <w:b/>
          <w:highlight w:val="yellow"/>
        </w:rPr>
        <w:t>$5.065m per annum</w:t>
      </w:r>
      <w:r w:rsidR="00774693" w:rsidRPr="004C1B98">
        <w:rPr>
          <w:highlight w:val="yellow"/>
        </w:rPr>
        <w:t xml:space="preserve"> as part of its annual financial statements</w:t>
      </w:r>
      <w:r w:rsidRPr="004C1B98">
        <w:rPr>
          <w:highlight w:val="yellow"/>
        </w:rPr>
        <w:t xml:space="preserve">. </w:t>
      </w:r>
    </w:p>
    <w:p w:rsidR="003615FF" w:rsidRPr="004C1B98" w:rsidRDefault="003615FF" w:rsidP="00DC6F54">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In Ju</w:t>
      </w:r>
      <w:r w:rsidR="00774693" w:rsidRPr="004C1B98">
        <w:rPr>
          <w:highlight w:val="yellow"/>
        </w:rPr>
        <w:t xml:space="preserve">ne </w:t>
      </w:r>
      <w:r w:rsidRPr="004C1B98">
        <w:rPr>
          <w:highlight w:val="yellow"/>
        </w:rPr>
        <w:t xml:space="preserve">2014, Council resolved to form a Citizens Jury (known as the Marrickville Infrastructure Jury) to essentially determine an appropriate level of service for existing infrastructure assets and to prioritise new capital projects. A key component of the Jury’s remit was to </w:t>
      </w:r>
      <w:r w:rsidR="0089365C">
        <w:rPr>
          <w:highlight w:val="yellow"/>
        </w:rPr>
        <w:t>p</w:t>
      </w:r>
      <w:r w:rsidR="00F17945">
        <w:rPr>
          <w:highlight w:val="yellow"/>
        </w:rPr>
        <w:t>resent</w:t>
      </w:r>
      <w:r w:rsidRPr="004C1B98">
        <w:rPr>
          <w:highlight w:val="yellow"/>
        </w:rPr>
        <w:t xml:space="preserve"> </w:t>
      </w:r>
      <w:r w:rsidR="005F4719">
        <w:rPr>
          <w:highlight w:val="yellow"/>
        </w:rPr>
        <w:t>possible</w:t>
      </w:r>
      <w:r w:rsidR="00F976F6" w:rsidRPr="004C1B98">
        <w:rPr>
          <w:highlight w:val="yellow"/>
        </w:rPr>
        <w:t xml:space="preserve"> </w:t>
      </w:r>
      <w:r w:rsidRPr="004C1B98">
        <w:rPr>
          <w:highlight w:val="yellow"/>
        </w:rPr>
        <w:t xml:space="preserve">revenue </w:t>
      </w:r>
      <w:proofErr w:type="gramStart"/>
      <w:r w:rsidRPr="004C1B98">
        <w:rPr>
          <w:highlight w:val="yellow"/>
        </w:rPr>
        <w:t>raising</w:t>
      </w:r>
      <w:proofErr w:type="gramEnd"/>
      <w:r w:rsidRPr="004C1B98">
        <w:rPr>
          <w:highlight w:val="yellow"/>
        </w:rPr>
        <w:t xml:space="preserve"> / expenditure saving options to finance </w:t>
      </w:r>
      <w:r w:rsidR="0057134F">
        <w:rPr>
          <w:highlight w:val="yellow"/>
        </w:rPr>
        <w:t>any</w:t>
      </w:r>
      <w:r w:rsidRPr="004C1B98">
        <w:rPr>
          <w:highlight w:val="yellow"/>
        </w:rPr>
        <w:t xml:space="preserve"> recommendations</w:t>
      </w:r>
      <w:r w:rsidR="00F17945">
        <w:rPr>
          <w:highlight w:val="yellow"/>
        </w:rPr>
        <w:t xml:space="preserve"> put forward</w:t>
      </w:r>
      <w:r w:rsidRPr="004C1B98">
        <w:rPr>
          <w:highlight w:val="yellow"/>
        </w:rPr>
        <w:t>.</w:t>
      </w:r>
    </w:p>
    <w:p w:rsidR="00B72824" w:rsidRPr="004C1B98" w:rsidRDefault="00B72824" w:rsidP="00DC6F54">
      <w:pPr>
        <w:pStyle w:val="BodyText"/>
        <w:pBdr>
          <w:top w:val="single" w:sz="4" w:space="1" w:color="auto"/>
          <w:left w:val="single" w:sz="4" w:space="4" w:color="auto"/>
          <w:bottom w:val="single" w:sz="4" w:space="1" w:color="auto"/>
          <w:right w:val="single" w:sz="4" w:space="4" w:color="auto"/>
        </w:pBdr>
        <w:rPr>
          <w:b/>
          <w:highlight w:val="yellow"/>
        </w:rPr>
      </w:pPr>
      <w:r w:rsidRPr="004C1B98">
        <w:rPr>
          <w:highlight w:val="yellow"/>
        </w:rPr>
        <w:t>The Jury, in its final report presented to Council on 25 November 2014, made a number of recommendations. One of the most significant recommendations was for Council to a</w:t>
      </w:r>
      <w:r w:rsidR="005F4719">
        <w:rPr>
          <w:highlight w:val="yellow"/>
        </w:rPr>
        <w:t>dopt</w:t>
      </w:r>
      <w:r w:rsidRPr="004C1B98">
        <w:rPr>
          <w:highlight w:val="yellow"/>
        </w:rPr>
        <w:t xml:space="preserve"> new </w:t>
      </w:r>
      <w:r w:rsidR="005F4719">
        <w:rPr>
          <w:highlight w:val="yellow"/>
        </w:rPr>
        <w:t>service</w:t>
      </w:r>
      <w:r w:rsidRPr="004C1B98">
        <w:rPr>
          <w:highlight w:val="yellow"/>
        </w:rPr>
        <w:t xml:space="preserve"> level</w:t>
      </w:r>
      <w:r w:rsidR="005F4719">
        <w:rPr>
          <w:highlight w:val="yellow"/>
        </w:rPr>
        <w:t>s</w:t>
      </w:r>
      <w:r w:rsidRPr="004C1B98">
        <w:rPr>
          <w:highlight w:val="yellow"/>
        </w:rPr>
        <w:t xml:space="preserve"> for </w:t>
      </w:r>
      <w:r w:rsidR="00F17945">
        <w:rPr>
          <w:highlight w:val="yellow"/>
        </w:rPr>
        <w:t>its</w:t>
      </w:r>
      <w:r w:rsidRPr="004C1B98">
        <w:rPr>
          <w:highlight w:val="yellow"/>
        </w:rPr>
        <w:t xml:space="preserve"> network of </w:t>
      </w:r>
      <w:r w:rsidR="00774693" w:rsidRPr="004C1B98">
        <w:rPr>
          <w:highlight w:val="yellow"/>
        </w:rPr>
        <w:t xml:space="preserve">existing </w:t>
      </w:r>
      <w:r w:rsidRPr="004C1B98">
        <w:rPr>
          <w:highlight w:val="yellow"/>
        </w:rPr>
        <w:t xml:space="preserve">infrastructure assets. This had the effect of reducing Council’s </w:t>
      </w:r>
      <w:r w:rsidR="00774693" w:rsidRPr="004C1B98">
        <w:rPr>
          <w:highlight w:val="yellow"/>
        </w:rPr>
        <w:t xml:space="preserve">annual </w:t>
      </w:r>
      <w:r w:rsidRPr="004C1B98">
        <w:rPr>
          <w:highlight w:val="yellow"/>
        </w:rPr>
        <w:t xml:space="preserve">funding shortfall for infrastructure asset renewal from $5.065m to </w:t>
      </w:r>
      <w:r w:rsidRPr="004C1B98">
        <w:rPr>
          <w:b/>
          <w:highlight w:val="yellow"/>
        </w:rPr>
        <w:t xml:space="preserve">$2.35m per annum. </w:t>
      </w:r>
    </w:p>
    <w:p w:rsidR="00774693" w:rsidRPr="004C1B98" w:rsidRDefault="008D2EA9" w:rsidP="00DC6F54">
      <w:pPr>
        <w:pStyle w:val="BodyText"/>
        <w:pBdr>
          <w:top w:val="single" w:sz="4" w:space="1" w:color="auto"/>
          <w:left w:val="single" w:sz="4" w:space="4" w:color="auto"/>
          <w:bottom w:val="single" w:sz="4" w:space="1" w:color="auto"/>
          <w:right w:val="single" w:sz="4" w:space="4" w:color="auto"/>
        </w:pBdr>
        <w:rPr>
          <w:highlight w:val="yellow"/>
        </w:rPr>
      </w:pPr>
      <w:r>
        <w:rPr>
          <w:highlight w:val="yellow"/>
        </w:rPr>
        <w:t>Despite its best endeavours, t</w:t>
      </w:r>
      <w:r w:rsidR="00774693" w:rsidRPr="004C1B98">
        <w:rPr>
          <w:highlight w:val="yellow"/>
        </w:rPr>
        <w:t>he Jury</w:t>
      </w:r>
      <w:r w:rsidR="001B22DA" w:rsidRPr="004C1B98">
        <w:rPr>
          <w:highlight w:val="yellow"/>
        </w:rPr>
        <w:t xml:space="preserve"> </w:t>
      </w:r>
      <w:r>
        <w:rPr>
          <w:highlight w:val="yellow"/>
        </w:rPr>
        <w:t>did not</w:t>
      </w:r>
      <w:r w:rsidR="00774693" w:rsidRPr="004C1B98">
        <w:rPr>
          <w:highlight w:val="yellow"/>
        </w:rPr>
        <w:t xml:space="preserve"> </w:t>
      </w:r>
      <w:r>
        <w:rPr>
          <w:highlight w:val="yellow"/>
        </w:rPr>
        <w:t xml:space="preserve">have </w:t>
      </w:r>
      <w:r w:rsidR="00774693" w:rsidRPr="004C1B98">
        <w:rPr>
          <w:highlight w:val="yellow"/>
        </w:rPr>
        <w:t xml:space="preserve">time to </w:t>
      </w:r>
      <w:r w:rsidR="001B22DA" w:rsidRPr="004C1B98">
        <w:rPr>
          <w:highlight w:val="yellow"/>
        </w:rPr>
        <w:t xml:space="preserve">exhaustively explore legitimate </w:t>
      </w:r>
      <w:r w:rsidR="00774693" w:rsidRPr="004C1B98">
        <w:rPr>
          <w:highlight w:val="yellow"/>
        </w:rPr>
        <w:t>fund</w:t>
      </w:r>
      <w:r w:rsidR="001B22DA" w:rsidRPr="004C1B98">
        <w:rPr>
          <w:highlight w:val="yellow"/>
        </w:rPr>
        <w:t>ing sources for</w:t>
      </w:r>
      <w:r w:rsidR="00774693" w:rsidRPr="004C1B98">
        <w:rPr>
          <w:highlight w:val="yellow"/>
        </w:rPr>
        <w:t xml:space="preserve"> its new service levels</w:t>
      </w:r>
      <w:r w:rsidR="005F4719">
        <w:rPr>
          <w:highlight w:val="yellow"/>
        </w:rPr>
        <w:t xml:space="preserve">, </w:t>
      </w:r>
      <w:r>
        <w:rPr>
          <w:highlight w:val="yellow"/>
        </w:rPr>
        <w:t>though it did make it clear they did want to see Council identify productivity gains</w:t>
      </w:r>
      <w:r w:rsidR="00121B7B">
        <w:rPr>
          <w:highlight w:val="yellow"/>
        </w:rPr>
        <w:t xml:space="preserve"> and additional parking related revenue opportunities before seeking to raise </w:t>
      </w:r>
      <w:r w:rsidR="0057134F">
        <w:rPr>
          <w:highlight w:val="yellow"/>
        </w:rPr>
        <w:t xml:space="preserve">revenue from </w:t>
      </w:r>
      <w:r w:rsidR="00121B7B">
        <w:rPr>
          <w:highlight w:val="yellow"/>
        </w:rPr>
        <w:t>rates</w:t>
      </w:r>
      <w:r w:rsidR="00774693" w:rsidRPr="004C1B98">
        <w:rPr>
          <w:highlight w:val="yellow"/>
        </w:rPr>
        <w:t xml:space="preserve">. </w:t>
      </w:r>
    </w:p>
    <w:p w:rsidR="00B72824" w:rsidRPr="00E843CC" w:rsidRDefault="00B72824" w:rsidP="00DC6F54">
      <w:pPr>
        <w:pStyle w:val="BodyText"/>
        <w:pBdr>
          <w:top w:val="single" w:sz="4" w:space="1" w:color="auto"/>
          <w:left w:val="single" w:sz="4" w:space="4" w:color="auto"/>
          <w:bottom w:val="single" w:sz="4" w:space="1" w:color="auto"/>
          <w:right w:val="single" w:sz="4" w:space="4" w:color="auto"/>
        </w:pBdr>
        <w:rPr>
          <w:b/>
          <w:highlight w:val="yellow"/>
        </w:rPr>
      </w:pPr>
      <w:r w:rsidRPr="004C1B98">
        <w:rPr>
          <w:highlight w:val="yellow"/>
        </w:rPr>
        <w:t xml:space="preserve">On 2 December 2014, Council resolved to develop a Productivity </w:t>
      </w:r>
      <w:r w:rsidR="008C07F3" w:rsidRPr="004C1B98">
        <w:rPr>
          <w:highlight w:val="yellow"/>
        </w:rPr>
        <w:t xml:space="preserve">Improvement </w:t>
      </w:r>
      <w:r w:rsidR="00B347D3" w:rsidRPr="004C1B98">
        <w:rPr>
          <w:highlight w:val="yellow"/>
        </w:rPr>
        <w:t xml:space="preserve">Plan </w:t>
      </w:r>
      <w:r w:rsidRPr="004C1B98">
        <w:rPr>
          <w:highlight w:val="yellow"/>
        </w:rPr>
        <w:t xml:space="preserve">(in accordance with one of the recommendations of the Jury) valued at $1m per annum and proceed to publicly exhibit a possible Special Rate Variation </w:t>
      </w:r>
      <w:r w:rsidR="00A43E86" w:rsidRPr="004C1B98">
        <w:rPr>
          <w:highlight w:val="yellow"/>
        </w:rPr>
        <w:t xml:space="preserve">(SRV) </w:t>
      </w:r>
      <w:r w:rsidRPr="004C1B98">
        <w:rPr>
          <w:highlight w:val="yellow"/>
        </w:rPr>
        <w:t xml:space="preserve">of 3% (permanent) over and above </w:t>
      </w:r>
      <w:proofErr w:type="spellStart"/>
      <w:r w:rsidRPr="004C1B98">
        <w:rPr>
          <w:highlight w:val="yellow"/>
        </w:rPr>
        <w:t>IPART’s</w:t>
      </w:r>
      <w:proofErr w:type="spellEnd"/>
      <w:r w:rsidRPr="004C1B98">
        <w:rPr>
          <w:highlight w:val="yellow"/>
        </w:rPr>
        <w:t xml:space="preserve"> 2.4% determination</w:t>
      </w:r>
      <w:r w:rsidR="00E843CC">
        <w:rPr>
          <w:highlight w:val="yellow"/>
        </w:rPr>
        <w:t xml:space="preserve"> – </w:t>
      </w:r>
      <w:r w:rsidR="00E843CC" w:rsidRPr="00E843CC">
        <w:rPr>
          <w:b/>
          <w:highlight w:val="yellow"/>
        </w:rPr>
        <w:t>known as Scenario 2</w:t>
      </w:r>
      <w:r w:rsidR="00E843CC">
        <w:rPr>
          <w:b/>
          <w:highlight w:val="yellow"/>
        </w:rPr>
        <w:t xml:space="preserve"> in Council’s suite of IP&amp;R Documents</w:t>
      </w:r>
      <w:r w:rsidRPr="00E843CC">
        <w:rPr>
          <w:b/>
          <w:highlight w:val="yellow"/>
        </w:rPr>
        <w:t xml:space="preserve">. The total increase from 1 July 2015 would therefore be a 5.4% rate increase. </w:t>
      </w:r>
    </w:p>
    <w:p w:rsidR="0057134F" w:rsidRPr="004C1B98" w:rsidRDefault="0057134F" w:rsidP="0057134F">
      <w:pPr>
        <w:pStyle w:val="BodyText"/>
        <w:pBdr>
          <w:top w:val="single" w:sz="4" w:space="1" w:color="auto"/>
          <w:left w:val="single" w:sz="4" w:space="4" w:color="auto"/>
          <w:bottom w:val="single" w:sz="4" w:space="1" w:color="auto"/>
          <w:right w:val="single" w:sz="4" w:space="4" w:color="auto"/>
        </w:pBdr>
        <w:rPr>
          <w:highlight w:val="yellow"/>
        </w:rPr>
      </w:pPr>
      <w:r>
        <w:rPr>
          <w:highlight w:val="yellow"/>
        </w:rPr>
        <w:t>Council’s decision to proceed with a SRV was purely to keep that funding option ‘alive’ and seek broader public opinion on the proposal.</w:t>
      </w:r>
    </w:p>
    <w:p w:rsidR="00B72824" w:rsidRDefault="00B72824" w:rsidP="00DC6F54">
      <w:pPr>
        <w:pStyle w:val="BodyText"/>
        <w:pBdr>
          <w:top w:val="single" w:sz="4" w:space="1" w:color="auto"/>
          <w:left w:val="single" w:sz="4" w:space="4" w:color="auto"/>
          <w:bottom w:val="single" w:sz="4" w:space="1" w:color="auto"/>
          <w:right w:val="single" w:sz="4" w:space="4" w:color="auto"/>
        </w:pBdr>
        <w:rPr>
          <w:b/>
          <w:highlight w:val="yellow"/>
        </w:rPr>
      </w:pPr>
      <w:r w:rsidRPr="00973A72">
        <w:rPr>
          <w:b/>
          <w:highlight w:val="yellow"/>
        </w:rPr>
        <w:t>The $1m Productivity</w:t>
      </w:r>
      <w:r w:rsidR="008C07F3" w:rsidRPr="00973A72">
        <w:rPr>
          <w:b/>
          <w:highlight w:val="yellow"/>
        </w:rPr>
        <w:t xml:space="preserve"> Improvement </w:t>
      </w:r>
      <w:r w:rsidR="00B347D3" w:rsidRPr="00973A72">
        <w:rPr>
          <w:b/>
          <w:highlight w:val="yellow"/>
        </w:rPr>
        <w:t>Plan</w:t>
      </w:r>
      <w:r w:rsidR="008C07F3" w:rsidRPr="00973A72">
        <w:rPr>
          <w:b/>
          <w:highlight w:val="yellow"/>
        </w:rPr>
        <w:t xml:space="preserve">, together with the additional </w:t>
      </w:r>
      <w:r w:rsidR="006F57AD" w:rsidRPr="00973A72">
        <w:rPr>
          <w:b/>
          <w:highlight w:val="yellow"/>
        </w:rPr>
        <w:t xml:space="preserve">$1.35m the </w:t>
      </w:r>
      <w:r w:rsidR="008C07F3" w:rsidRPr="00973A72">
        <w:rPr>
          <w:b/>
          <w:highlight w:val="yellow"/>
        </w:rPr>
        <w:t>3% SRV would generate</w:t>
      </w:r>
      <w:r w:rsidR="00973A72">
        <w:rPr>
          <w:b/>
          <w:highlight w:val="yellow"/>
        </w:rPr>
        <w:t>,</w:t>
      </w:r>
      <w:r w:rsidR="008C07F3" w:rsidRPr="00973A72">
        <w:rPr>
          <w:b/>
          <w:highlight w:val="yellow"/>
        </w:rPr>
        <w:t xml:space="preserve"> </w:t>
      </w:r>
      <w:r w:rsidR="006F57AD" w:rsidRPr="00973A72">
        <w:rPr>
          <w:b/>
          <w:highlight w:val="yellow"/>
        </w:rPr>
        <w:t xml:space="preserve">enabled Council to raise </w:t>
      </w:r>
      <w:r w:rsidR="008C07F3" w:rsidRPr="00973A72">
        <w:rPr>
          <w:b/>
          <w:highlight w:val="yellow"/>
        </w:rPr>
        <w:t>the necessary $2.35m per annum required to address Council’s</w:t>
      </w:r>
      <w:r w:rsidR="00774693" w:rsidRPr="00973A72">
        <w:rPr>
          <w:b/>
          <w:highlight w:val="yellow"/>
        </w:rPr>
        <w:t xml:space="preserve"> new </w:t>
      </w:r>
      <w:r w:rsidR="008C07F3" w:rsidRPr="00973A72">
        <w:rPr>
          <w:b/>
          <w:highlight w:val="yellow"/>
        </w:rPr>
        <w:t>infrastructure asset renewal funding shortfall</w:t>
      </w:r>
      <w:r w:rsidR="00774693" w:rsidRPr="00973A72">
        <w:rPr>
          <w:b/>
          <w:highlight w:val="yellow"/>
        </w:rPr>
        <w:t>, as determined by the Jury.</w:t>
      </w:r>
    </w:p>
    <w:p w:rsidR="00E843CC" w:rsidRPr="00973A72" w:rsidRDefault="00E843CC" w:rsidP="00DC6F54">
      <w:pPr>
        <w:pStyle w:val="BodyText"/>
        <w:pBdr>
          <w:top w:val="single" w:sz="4" w:space="1" w:color="auto"/>
          <w:left w:val="single" w:sz="4" w:space="4" w:color="auto"/>
          <w:bottom w:val="single" w:sz="4" w:space="1" w:color="auto"/>
          <w:right w:val="single" w:sz="4" w:space="4" w:color="auto"/>
        </w:pBdr>
        <w:rPr>
          <w:b/>
          <w:highlight w:val="yellow"/>
        </w:rPr>
      </w:pPr>
    </w:p>
    <w:p w:rsidR="008C07F3" w:rsidRPr="004C1B98" w:rsidRDefault="00A43E86" w:rsidP="00DC6F54">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lastRenderedPageBreak/>
        <w:t>Council</w:t>
      </w:r>
      <w:r w:rsidR="00B347D3" w:rsidRPr="004C1B98">
        <w:rPr>
          <w:highlight w:val="yellow"/>
        </w:rPr>
        <w:t>’s</w:t>
      </w:r>
      <w:r w:rsidRPr="004C1B98">
        <w:rPr>
          <w:highlight w:val="yellow"/>
        </w:rPr>
        <w:t xml:space="preserve"> community consultation in relation to the proposed SRV </w:t>
      </w:r>
      <w:r w:rsidR="00B347D3" w:rsidRPr="004C1B98">
        <w:rPr>
          <w:highlight w:val="yellow"/>
        </w:rPr>
        <w:t>ran from</w:t>
      </w:r>
      <w:r w:rsidRPr="004C1B98">
        <w:rPr>
          <w:highlight w:val="yellow"/>
        </w:rPr>
        <w:t xml:space="preserve"> Friday 5 December 2014 </w:t>
      </w:r>
      <w:r w:rsidR="00B347D3" w:rsidRPr="004C1B98">
        <w:rPr>
          <w:highlight w:val="yellow"/>
        </w:rPr>
        <w:t xml:space="preserve">to </w:t>
      </w:r>
      <w:r w:rsidRPr="004C1B98">
        <w:rPr>
          <w:highlight w:val="yellow"/>
        </w:rPr>
        <w:t>Friday 6 February 2015</w:t>
      </w:r>
      <w:r w:rsidR="00B347D3" w:rsidRPr="004C1B98">
        <w:rPr>
          <w:highlight w:val="yellow"/>
        </w:rPr>
        <w:t xml:space="preserve"> (inclusive)</w:t>
      </w:r>
      <w:r w:rsidRPr="004C1B98">
        <w:rPr>
          <w:highlight w:val="yellow"/>
        </w:rPr>
        <w:t xml:space="preserve">. Council took into consideration the Christmas break in extending the consultation period from 1 month to 2 months. Council also took into consideration the fact that the Jury was a statistically valid cross-section of the community who had been intimately engaged in the process since September 2014. </w:t>
      </w:r>
    </w:p>
    <w:p w:rsidR="00322168" w:rsidRPr="004C1B98" w:rsidRDefault="006F57AD" w:rsidP="00DC6F54">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rFonts w:cs="Arial"/>
          <w:szCs w:val="22"/>
          <w:highlight w:val="yellow"/>
        </w:rPr>
        <w:t>Council received a total of 1,801 responses, of which 1,506 were postal submissions and 295 were on-line submissions.</w:t>
      </w:r>
      <w:r w:rsidR="00322168" w:rsidRPr="004C1B98">
        <w:rPr>
          <w:rFonts w:cs="Arial"/>
          <w:szCs w:val="22"/>
          <w:highlight w:val="yellow"/>
        </w:rPr>
        <w:t xml:space="preserve"> Results from the survey submissions indicate that </w:t>
      </w:r>
      <w:r w:rsidR="00322168" w:rsidRPr="00050693">
        <w:rPr>
          <w:rFonts w:cs="Arial"/>
          <w:b/>
          <w:szCs w:val="22"/>
          <w:highlight w:val="yellow"/>
        </w:rPr>
        <w:t xml:space="preserve">55% of all respondents were at least “somewhat supportive” </w:t>
      </w:r>
      <w:r w:rsidR="00322168" w:rsidRPr="004C1B98">
        <w:rPr>
          <w:rFonts w:cs="Arial"/>
          <w:szCs w:val="22"/>
          <w:highlight w:val="yellow"/>
        </w:rPr>
        <w:t>of the proposed rate increase versus 45% who were opposed.</w:t>
      </w:r>
    </w:p>
    <w:p w:rsidR="00322168" w:rsidRPr="004C1B98" w:rsidRDefault="00322168" w:rsidP="00DC6F54">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rFonts w:cs="Arial"/>
          <w:szCs w:val="22"/>
          <w:highlight w:val="yellow"/>
        </w:rPr>
        <w:t xml:space="preserve">Council commissioned independent market research company </w:t>
      </w:r>
      <w:proofErr w:type="spellStart"/>
      <w:r w:rsidRPr="004C1B98">
        <w:rPr>
          <w:rFonts w:cs="Arial"/>
          <w:szCs w:val="22"/>
          <w:highlight w:val="yellow"/>
        </w:rPr>
        <w:t>Micromex</w:t>
      </w:r>
      <w:proofErr w:type="spellEnd"/>
      <w:r w:rsidRPr="004C1B98">
        <w:rPr>
          <w:rFonts w:cs="Arial"/>
          <w:szCs w:val="22"/>
          <w:highlight w:val="yellow"/>
        </w:rPr>
        <w:t xml:space="preserve"> to undertake a statistically valid and demographically representative telephone survey of the Marrickville community (n=410).</w:t>
      </w:r>
    </w:p>
    <w:p w:rsidR="00322168" w:rsidRDefault="00322168" w:rsidP="00DC6F54">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rFonts w:cs="Arial"/>
          <w:szCs w:val="22"/>
          <w:highlight w:val="yellow"/>
        </w:rPr>
        <w:t>Council did so because self-selecting responses (</w:t>
      </w:r>
      <w:proofErr w:type="spellStart"/>
      <w:r w:rsidRPr="004C1B98">
        <w:rPr>
          <w:rFonts w:cs="Arial"/>
          <w:szCs w:val="22"/>
          <w:highlight w:val="yellow"/>
        </w:rPr>
        <w:t>ie</w:t>
      </w:r>
      <w:proofErr w:type="spellEnd"/>
      <w:r w:rsidRPr="004C1B98">
        <w:rPr>
          <w:rFonts w:cs="Arial"/>
          <w:szCs w:val="22"/>
          <w:highlight w:val="yellow"/>
        </w:rPr>
        <w:t xml:space="preserve">. the online and written submissions outlined above), while an important gauge of individual community members’ passion and interest, cannot be extrapolated to represent the views of the wider community. Results from the telephone survey indicate that </w:t>
      </w:r>
      <w:r w:rsidRPr="00050693">
        <w:rPr>
          <w:rFonts w:cs="Arial"/>
          <w:b/>
          <w:szCs w:val="22"/>
          <w:highlight w:val="yellow"/>
        </w:rPr>
        <w:t>81% of all respondents were at least “somewhat supportive”</w:t>
      </w:r>
      <w:r w:rsidRPr="004C1B98">
        <w:rPr>
          <w:rFonts w:cs="Arial"/>
          <w:szCs w:val="22"/>
          <w:highlight w:val="yellow"/>
        </w:rPr>
        <w:t xml:space="preserve"> of the proposed rate increase versus 19% who were opposed.</w:t>
      </w:r>
    </w:p>
    <w:p w:rsidR="0057134F" w:rsidRPr="004C1B98" w:rsidRDefault="0057134F" w:rsidP="00DC6F54">
      <w:pPr>
        <w:pStyle w:val="BodyText"/>
        <w:pBdr>
          <w:top w:val="single" w:sz="4" w:space="1" w:color="auto"/>
          <w:left w:val="single" w:sz="4" w:space="4" w:color="auto"/>
          <w:bottom w:val="single" w:sz="4" w:space="1" w:color="auto"/>
          <w:right w:val="single" w:sz="4" w:space="4" w:color="auto"/>
        </w:pBdr>
        <w:rPr>
          <w:rFonts w:cs="Arial"/>
          <w:szCs w:val="22"/>
          <w:highlight w:val="yellow"/>
        </w:rPr>
      </w:pPr>
      <w:r>
        <w:rPr>
          <w:rFonts w:cs="Arial"/>
          <w:szCs w:val="22"/>
          <w:highlight w:val="yellow"/>
        </w:rPr>
        <w:t>Council received 2 petitions containing the name</w:t>
      </w:r>
      <w:r w:rsidR="00DC1129">
        <w:rPr>
          <w:rFonts w:cs="Arial"/>
          <w:szCs w:val="22"/>
          <w:highlight w:val="yellow"/>
        </w:rPr>
        <w:t>s, addresses and signatures of</w:t>
      </w:r>
      <w:r>
        <w:rPr>
          <w:rFonts w:cs="Arial"/>
          <w:szCs w:val="22"/>
          <w:highlight w:val="yellow"/>
        </w:rPr>
        <w:t xml:space="preserve"> </w:t>
      </w:r>
      <w:r w:rsidR="00DC1129">
        <w:rPr>
          <w:rFonts w:cs="Arial"/>
          <w:szCs w:val="22"/>
          <w:highlight w:val="yellow"/>
        </w:rPr>
        <w:t>1</w:t>
      </w:r>
      <w:r>
        <w:rPr>
          <w:rFonts w:cs="Arial"/>
          <w:szCs w:val="22"/>
          <w:highlight w:val="yellow"/>
        </w:rPr>
        <w:t>,</w:t>
      </w:r>
      <w:r w:rsidR="00DC1129">
        <w:rPr>
          <w:rFonts w:cs="Arial"/>
          <w:szCs w:val="22"/>
          <w:highlight w:val="yellow"/>
        </w:rPr>
        <w:t>904</w:t>
      </w:r>
      <w:r>
        <w:rPr>
          <w:rFonts w:cs="Arial"/>
          <w:szCs w:val="22"/>
          <w:highlight w:val="yellow"/>
        </w:rPr>
        <w:t xml:space="preserve"> people. One of the petitions was initiated by the Marrickville Chamber of Commerce. Council is unable to determine the origins of the other petition.  </w:t>
      </w:r>
    </w:p>
    <w:p w:rsidR="00322168" w:rsidRPr="004C1B98" w:rsidRDefault="00322168" w:rsidP="00DC6F54">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rFonts w:cs="Arial"/>
          <w:szCs w:val="22"/>
          <w:highlight w:val="yellow"/>
        </w:rPr>
        <w:t>The MIJ reconvened on Saturday 7 February to review the progress Council had made against the recommendations and to further consider how to pay for renewal of existing infrastructure assets as well as new unfunded assets. The independently facilitated Workshop was an opportunity for Council officers to respond to the recommendations the MIJ made in its report to Council on 25 November 2014.</w:t>
      </w:r>
    </w:p>
    <w:p w:rsidR="00322168" w:rsidRPr="004C1B98" w:rsidRDefault="00560B05" w:rsidP="00DC6F54">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rFonts w:cs="Arial"/>
          <w:szCs w:val="22"/>
          <w:highlight w:val="yellow"/>
        </w:rPr>
        <w:t>Specifically, it was an opportunity to discuss alternate revenue raising strategies and ideas to fund both existing assets and new capital projects. It was also an opportunity to provide a deeper understanding and appreciation of the complexities of car parking management and enforcement strategies adopted by Council throughout the LGA.</w:t>
      </w:r>
    </w:p>
    <w:p w:rsidR="00560B05" w:rsidRPr="004C1B98" w:rsidRDefault="00560B05" w:rsidP="00DC6F54">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rFonts w:cs="Arial"/>
          <w:szCs w:val="22"/>
          <w:highlight w:val="yellow"/>
        </w:rPr>
        <w:t xml:space="preserve">At the close of the Workshop Council received a written statement from the Jury stating it was </w:t>
      </w:r>
      <w:r w:rsidRPr="0057134F">
        <w:rPr>
          <w:rFonts w:cs="Arial"/>
          <w:b/>
          <w:szCs w:val="22"/>
          <w:highlight w:val="yellow"/>
        </w:rPr>
        <w:t>willing to support the proposed rate increase</w:t>
      </w:r>
      <w:r w:rsidRPr="004C1B98">
        <w:rPr>
          <w:rFonts w:cs="Arial"/>
          <w:szCs w:val="22"/>
          <w:highlight w:val="yellow"/>
        </w:rPr>
        <w:t xml:space="preserve"> subject to Council increasing its parking enforcement activities throughout the LGA.</w:t>
      </w:r>
    </w:p>
    <w:p w:rsidR="003615FF" w:rsidRPr="004C1B98" w:rsidRDefault="00560B05" w:rsidP="00DC6F54">
      <w:pPr>
        <w:pStyle w:val="BodyText"/>
        <w:pBdr>
          <w:top w:val="single" w:sz="4" w:space="1" w:color="auto"/>
          <w:left w:val="single" w:sz="4" w:space="4" w:color="auto"/>
          <w:bottom w:val="single" w:sz="4" w:space="1" w:color="auto"/>
          <w:right w:val="single" w:sz="4" w:space="4" w:color="auto"/>
        </w:pBdr>
        <w:rPr>
          <w:highlight w:val="yellow"/>
        </w:rPr>
      </w:pPr>
      <w:r w:rsidRPr="004C1B98">
        <w:rPr>
          <w:rFonts w:cs="Arial"/>
          <w:szCs w:val="22"/>
          <w:highlight w:val="yellow"/>
        </w:rPr>
        <w:t xml:space="preserve">On 17 February 2015, Council resolved to proceed to make formal application </w:t>
      </w:r>
      <w:r w:rsidR="00973A72">
        <w:rPr>
          <w:rFonts w:cs="Arial"/>
          <w:szCs w:val="22"/>
          <w:highlight w:val="yellow"/>
        </w:rPr>
        <w:t xml:space="preserve">to IPART </w:t>
      </w:r>
      <w:r w:rsidRPr="004C1B98">
        <w:rPr>
          <w:rFonts w:cs="Arial"/>
          <w:szCs w:val="22"/>
          <w:highlight w:val="yellow"/>
        </w:rPr>
        <w:t>for the proposed SRV.</w:t>
      </w:r>
    </w:p>
    <w:p w:rsidR="00651EA7" w:rsidRPr="00A35E66" w:rsidRDefault="00651EA7" w:rsidP="00DC6F54">
      <w:pPr>
        <w:pStyle w:val="BodyText"/>
        <w:pBdr>
          <w:top w:val="single" w:sz="4" w:space="1" w:color="auto"/>
          <w:left w:val="single" w:sz="4" w:space="4" w:color="auto"/>
          <w:bottom w:val="single" w:sz="4" w:space="1" w:color="auto"/>
          <w:right w:val="single" w:sz="4" w:space="4" w:color="auto"/>
        </w:pBdr>
      </w:pPr>
      <w:r>
        <w:rPr>
          <w:highlight w:val="yellow"/>
        </w:rPr>
        <w:lastRenderedPageBreak/>
        <w:t xml:space="preserve">It is worth reflecting on the value </w:t>
      </w:r>
      <w:r w:rsidR="009672FE" w:rsidRPr="004C1B98">
        <w:rPr>
          <w:highlight w:val="yellow"/>
        </w:rPr>
        <w:t>the Jury brought to th</w:t>
      </w:r>
      <w:r>
        <w:rPr>
          <w:highlight w:val="yellow"/>
        </w:rPr>
        <w:t>e</w:t>
      </w:r>
      <w:r w:rsidR="009672FE" w:rsidRPr="004C1B98">
        <w:rPr>
          <w:highlight w:val="yellow"/>
        </w:rPr>
        <w:t xml:space="preserve"> whole process. </w:t>
      </w:r>
      <w:r>
        <w:rPr>
          <w:highlight w:val="yellow"/>
        </w:rPr>
        <w:t>Council’s experience is such that we firmly believe t</w:t>
      </w:r>
      <w:r w:rsidR="00235D9E" w:rsidRPr="004C1B98">
        <w:rPr>
          <w:highlight w:val="yellow"/>
        </w:rPr>
        <w:t xml:space="preserve">here </w:t>
      </w:r>
      <w:r>
        <w:rPr>
          <w:highlight w:val="yellow"/>
        </w:rPr>
        <w:t>are</w:t>
      </w:r>
      <w:r w:rsidR="00235D9E" w:rsidRPr="004C1B98">
        <w:rPr>
          <w:highlight w:val="yellow"/>
        </w:rPr>
        <w:t xml:space="preserve"> fewer better ways for the community to be</w:t>
      </w:r>
      <w:r w:rsidR="00050693">
        <w:rPr>
          <w:highlight w:val="yellow"/>
        </w:rPr>
        <w:t xml:space="preserve"> </w:t>
      </w:r>
      <w:r w:rsidR="00235D9E" w:rsidRPr="004C1B98">
        <w:rPr>
          <w:highlight w:val="yellow"/>
        </w:rPr>
        <w:t xml:space="preserve">intimately involved in tackling </w:t>
      </w:r>
      <w:r w:rsidR="00E9114D">
        <w:rPr>
          <w:highlight w:val="yellow"/>
        </w:rPr>
        <w:t xml:space="preserve">complex </w:t>
      </w:r>
      <w:r w:rsidR="00235D9E" w:rsidRPr="004C1B98">
        <w:rPr>
          <w:highlight w:val="yellow"/>
        </w:rPr>
        <w:t xml:space="preserve">local </w:t>
      </w:r>
      <w:r>
        <w:rPr>
          <w:highlight w:val="yellow"/>
        </w:rPr>
        <w:t xml:space="preserve">government </w:t>
      </w:r>
      <w:r w:rsidR="00235D9E" w:rsidRPr="004C1B98">
        <w:rPr>
          <w:highlight w:val="yellow"/>
        </w:rPr>
        <w:t>issue</w:t>
      </w:r>
      <w:r w:rsidR="00E9114D">
        <w:rPr>
          <w:highlight w:val="yellow"/>
        </w:rPr>
        <w:t>s</w:t>
      </w:r>
      <w:r w:rsidR="00235D9E" w:rsidRPr="004C1B98">
        <w:rPr>
          <w:highlight w:val="yellow"/>
        </w:rPr>
        <w:t xml:space="preserve"> than </w:t>
      </w:r>
      <w:r w:rsidR="00FB3081" w:rsidRPr="004C1B98">
        <w:rPr>
          <w:highlight w:val="yellow"/>
        </w:rPr>
        <w:t xml:space="preserve">through </w:t>
      </w:r>
      <w:r w:rsidR="00235D9E" w:rsidRPr="004C1B98">
        <w:rPr>
          <w:highlight w:val="yellow"/>
        </w:rPr>
        <w:t>a Deliberative Democracy process.</w:t>
      </w:r>
    </w:p>
    <w:p w:rsidR="007F05F6" w:rsidRPr="00A35E66" w:rsidRDefault="007F05F6" w:rsidP="007F05F6">
      <w:pPr>
        <w:pStyle w:val="Heading2"/>
        <w:spacing w:after="240"/>
      </w:pPr>
      <w:bookmarkStart w:id="11" w:name="_Toc304287283"/>
      <w:bookmarkStart w:id="12" w:name="_Toc366160409"/>
      <w:bookmarkStart w:id="13" w:name="_Toc401138365"/>
      <w:r w:rsidRPr="00A35E66">
        <w:t>Capital expenditure</w:t>
      </w:r>
      <w:bookmarkEnd w:id="11"/>
      <w:r w:rsidRPr="00A35E66">
        <w:t xml:space="preserve"> review</w:t>
      </w:r>
      <w:bookmarkEnd w:id="12"/>
      <w:bookmarkEnd w:id="13"/>
    </w:p>
    <w:p w:rsidR="007F05F6" w:rsidRPr="00A35E66" w:rsidRDefault="008B1F5A" w:rsidP="007F05F6">
      <w:pPr>
        <w:pStyle w:val="BodyText"/>
      </w:pPr>
      <w:r w:rsidRPr="00A35E66">
        <w:t>You should c</w:t>
      </w:r>
      <w:r w:rsidR="000E41D5" w:rsidRPr="00A35E66">
        <w:t>omplete this section if c</w:t>
      </w:r>
      <w:r w:rsidR="007F05F6" w:rsidRPr="00A35E66">
        <w:t>ouncil</w:t>
      </w:r>
      <w:r w:rsidR="000E41D5" w:rsidRPr="00A35E66">
        <w:t xml:space="preserve"> i</w:t>
      </w:r>
      <w:r w:rsidR="007F05F6" w:rsidRPr="00A35E66">
        <w:t xml:space="preserve">s undertaking major capital projects </w:t>
      </w:r>
      <w:r w:rsidR="000E41D5" w:rsidRPr="00A35E66">
        <w:t xml:space="preserve">that </w:t>
      </w:r>
      <w:r w:rsidR="007F05F6" w:rsidRPr="00A35E66">
        <w:t xml:space="preserve">are required to comply with the OLG’s Capital Expenditure Guidelines, as outlined in OLG Circular 10-34.  A capital expenditure review is required for projects that are not exempt and cost in excess of 10% of council’s annual ordinary rates revenue or $1 million (GST exclusive), whichever is the greater.  </w:t>
      </w:r>
    </w:p>
    <w:p w:rsidR="007F05F6" w:rsidRPr="00A35E66" w:rsidRDefault="007F05F6" w:rsidP="007F05F6">
      <w:pPr>
        <w:pStyle w:val="BodyText"/>
      </w:pPr>
      <w:r w:rsidRPr="00A35E6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A35E66" w:rsidRDefault="007F05F6" w:rsidP="007F05F6">
      <w:pPr>
        <w:pStyle w:val="BodyText"/>
        <w:spacing w:before="0"/>
      </w:pPr>
    </w:p>
    <w:tbl>
      <w:tblPr>
        <w:tblW w:w="0" w:type="auto"/>
        <w:tblLayout w:type="fixed"/>
        <w:tblLook w:val="01E0"/>
      </w:tblPr>
      <w:tblGrid>
        <w:gridCol w:w="6487"/>
        <w:gridCol w:w="851"/>
        <w:gridCol w:w="816"/>
      </w:tblGrid>
      <w:tr w:rsidR="007F05F6" w:rsidRPr="00A35E66" w:rsidTr="00452CBD">
        <w:trPr>
          <w:trHeight w:val="613"/>
        </w:trPr>
        <w:tc>
          <w:tcPr>
            <w:tcW w:w="6487" w:type="dxa"/>
          </w:tcPr>
          <w:p w:rsidR="007F05F6" w:rsidRPr="00A35E66" w:rsidRDefault="007F05F6" w:rsidP="00452CBD">
            <w:pPr>
              <w:pStyle w:val="TableTextEntries"/>
            </w:pPr>
            <w:r w:rsidRPr="00A35E66">
              <w:t>Does the proposed special variation require council to do a capital expenditure review in accordance with OLG Circular to Councils, Circular No 10-34 dated 20 December 2010</w:t>
            </w:r>
          </w:p>
        </w:tc>
        <w:tc>
          <w:tcPr>
            <w:tcW w:w="851" w:type="dxa"/>
          </w:tcPr>
          <w:p w:rsidR="007F05F6" w:rsidRPr="00A35E66" w:rsidRDefault="007F05F6" w:rsidP="00452CBD">
            <w:pPr>
              <w:pStyle w:val="TableTextEntries"/>
              <w:rPr>
                <w:rFonts w:cs="Arial"/>
              </w:rPr>
            </w:pPr>
            <w:r w:rsidRPr="00A35E66">
              <w:rPr>
                <w:rFonts w:cs="Arial"/>
              </w:rPr>
              <w:t xml:space="preserve">Yes </w:t>
            </w:r>
            <w:r w:rsidR="0030767F" w:rsidRPr="00A35E66">
              <w:rPr>
                <w:rFonts w:cs="Arial"/>
              </w:rPr>
              <w:fldChar w:fldCharType="begin">
                <w:ffData>
                  <w:name w:val="Check6"/>
                  <w:enabled/>
                  <w:calcOnExit w:val="0"/>
                  <w:checkBox>
                    <w:sizeAuto/>
                    <w:default w:val="0"/>
                  </w:checkBox>
                </w:ffData>
              </w:fldChar>
            </w:r>
            <w:r w:rsidRPr="00A35E66">
              <w:rPr>
                <w:rFonts w:cs="Arial"/>
              </w:rPr>
              <w:instrText xml:space="preserve"> FORMCHECKBOX </w:instrText>
            </w:r>
            <w:r w:rsidR="0030767F" w:rsidRPr="00A35E66">
              <w:rPr>
                <w:rFonts w:cs="Arial"/>
              </w:rPr>
            </w:r>
            <w:r w:rsidR="0030767F" w:rsidRPr="00A35E66">
              <w:rPr>
                <w:rFonts w:cs="Arial"/>
              </w:rPr>
              <w:fldChar w:fldCharType="end"/>
            </w:r>
          </w:p>
        </w:tc>
        <w:tc>
          <w:tcPr>
            <w:tcW w:w="816" w:type="dxa"/>
          </w:tcPr>
          <w:p w:rsidR="007F05F6" w:rsidRPr="00A35E66" w:rsidRDefault="007F05F6" w:rsidP="003C6256">
            <w:pPr>
              <w:pStyle w:val="TableTextEntries"/>
            </w:pPr>
            <w:r w:rsidRPr="00A35E66">
              <w:rPr>
                <w:rFonts w:cs="Arial"/>
              </w:rPr>
              <w:t xml:space="preserve">No </w:t>
            </w:r>
            <w:r w:rsidR="003C6256" w:rsidRPr="00A35E66">
              <w:rPr>
                <w:rFonts w:cs="Arial"/>
              </w:rPr>
              <w:t xml:space="preserve"> X</w:t>
            </w:r>
          </w:p>
        </w:tc>
      </w:tr>
      <w:tr w:rsidR="007F05F6" w:rsidRPr="00A35E66" w:rsidTr="00452CBD">
        <w:tc>
          <w:tcPr>
            <w:tcW w:w="6487" w:type="dxa"/>
          </w:tcPr>
          <w:p w:rsidR="007F05F6" w:rsidRPr="00A35E66" w:rsidRDefault="007F05F6" w:rsidP="00452CBD">
            <w:pPr>
              <w:pStyle w:val="TableTextEntries"/>
            </w:pPr>
            <w:r w:rsidRPr="00A35E66">
              <w:t xml:space="preserve">If </w:t>
            </w:r>
            <w:r w:rsidRPr="00A35E66">
              <w:rPr>
                <w:i/>
              </w:rPr>
              <w:t>Yes</w:t>
            </w:r>
            <w:r w:rsidRPr="00A35E66">
              <w:t>, has a review been done and submitted to OLG?</w:t>
            </w:r>
          </w:p>
        </w:tc>
        <w:tc>
          <w:tcPr>
            <w:tcW w:w="851" w:type="dxa"/>
          </w:tcPr>
          <w:p w:rsidR="007F05F6" w:rsidRPr="00A35E66" w:rsidRDefault="003263E2" w:rsidP="003263E2">
            <w:pPr>
              <w:pStyle w:val="TableTextEntries"/>
              <w:rPr>
                <w:rFonts w:cs="Arial"/>
              </w:rPr>
            </w:pPr>
            <w:r w:rsidRPr="00A35E66">
              <w:rPr>
                <w:rFonts w:cs="Arial"/>
              </w:rPr>
              <w:t>N/A</w:t>
            </w:r>
          </w:p>
        </w:tc>
        <w:tc>
          <w:tcPr>
            <w:tcW w:w="816" w:type="dxa"/>
          </w:tcPr>
          <w:p w:rsidR="007F05F6" w:rsidRPr="00A35E66" w:rsidRDefault="003263E2" w:rsidP="003263E2">
            <w:pPr>
              <w:pStyle w:val="TableTextEntries"/>
            </w:pPr>
            <w:r w:rsidRPr="00A35E66">
              <w:rPr>
                <w:rFonts w:cs="Arial"/>
              </w:rPr>
              <w:t>N/A</w:t>
            </w:r>
          </w:p>
        </w:tc>
      </w:tr>
    </w:tbl>
    <w:p w:rsidR="000F359C" w:rsidRPr="00A35E66" w:rsidRDefault="00E3295D" w:rsidP="006607B9">
      <w:pPr>
        <w:pStyle w:val="Heading1"/>
      </w:pPr>
      <w:bookmarkStart w:id="14" w:name="_Toc401138366"/>
      <w:r w:rsidRPr="00A35E66">
        <w:t xml:space="preserve">Assessment Criterion 1: </w:t>
      </w:r>
      <w:r w:rsidR="000F359C" w:rsidRPr="00A35E66">
        <w:t>Need for the variation</w:t>
      </w:r>
      <w:bookmarkEnd w:id="14"/>
    </w:p>
    <w:p w:rsidR="00E3295D" w:rsidRPr="00A35E66" w:rsidRDefault="00235528" w:rsidP="00E3295D">
      <w:pPr>
        <w:pStyle w:val="BodyText"/>
      </w:pPr>
      <w:r w:rsidRPr="00A35E66">
        <w:t xml:space="preserve">Criterion 1 within </w:t>
      </w:r>
      <w:r w:rsidR="00E3295D" w:rsidRPr="00A35E66">
        <w:t xml:space="preserve">the </w:t>
      </w:r>
      <w:r w:rsidR="00540000" w:rsidRPr="00A35E66">
        <w:t>O</w:t>
      </w:r>
      <w:r w:rsidR="00E3295D" w:rsidRPr="00A35E66">
        <w:t>LG Guidelines is:</w:t>
      </w:r>
    </w:p>
    <w:p w:rsidR="00D60EA5" w:rsidRPr="00A35E66" w:rsidRDefault="00D60EA5" w:rsidP="00D60EA5">
      <w:pPr>
        <w:pStyle w:val="Quote"/>
        <w:rPr>
          <w:rFonts w:ascii="Arial" w:hAnsi="Arial"/>
          <w:i/>
        </w:rPr>
      </w:pPr>
      <w:r w:rsidRPr="00A35E66">
        <w:rPr>
          <w:rFonts w:ascii="Arial" w:hAnsi="Arial"/>
          <w:i/>
        </w:rPr>
        <w:t xml:space="preserve">The need for and purpose of a different revenue path </w:t>
      </w:r>
      <w:r w:rsidR="009717E2" w:rsidRPr="00A35E66">
        <w:rPr>
          <w:rFonts w:ascii="Arial" w:hAnsi="Arial"/>
          <w:i/>
        </w:rPr>
        <w:t xml:space="preserve">for the council’s General Fund </w:t>
      </w:r>
      <w:r w:rsidRPr="00A35E66">
        <w:rPr>
          <w:rFonts w:ascii="Arial" w:hAnsi="Arial"/>
          <w:i/>
        </w:rPr>
        <w:t xml:space="preserve">(as requested through the special variation) is clearly articulated and identified </w:t>
      </w:r>
      <w:r w:rsidR="009717E2" w:rsidRPr="00A35E66">
        <w:rPr>
          <w:rFonts w:ascii="Arial" w:hAnsi="Arial"/>
          <w:i/>
        </w:rPr>
        <w:t xml:space="preserve">in </w:t>
      </w:r>
      <w:r w:rsidRPr="00A35E66">
        <w:rPr>
          <w:rFonts w:ascii="Arial" w:hAnsi="Arial"/>
          <w:i/>
        </w:rPr>
        <w:t>the council’s IP&amp;R documents, including its Delivery Program</w:t>
      </w:r>
      <w:r w:rsidR="009717E2" w:rsidRPr="00A35E66">
        <w:rPr>
          <w:rFonts w:ascii="Arial" w:hAnsi="Arial"/>
          <w:i/>
        </w:rPr>
        <w:t xml:space="preserve">, </w:t>
      </w:r>
      <w:r w:rsidRPr="00A35E66">
        <w:rPr>
          <w:rFonts w:ascii="Arial" w:hAnsi="Arial"/>
          <w:i/>
        </w:rPr>
        <w:t>Long Term Financial Plan</w:t>
      </w:r>
      <w:r w:rsidR="009717E2" w:rsidRPr="00A35E66">
        <w:rPr>
          <w:rFonts w:ascii="Arial" w:hAnsi="Arial"/>
          <w:i/>
        </w:rPr>
        <w:t xml:space="preserve"> and Asset Management Plan where appropriate</w:t>
      </w:r>
      <w:r w:rsidRPr="00A35E66">
        <w:rPr>
          <w:rFonts w:ascii="Arial" w:hAnsi="Arial"/>
          <w:i/>
        </w:rPr>
        <w:t xml:space="preserve">.  </w:t>
      </w:r>
      <w:r w:rsidR="009717E2" w:rsidRPr="00A35E66">
        <w:rPr>
          <w:rFonts w:ascii="Arial" w:hAnsi="Arial"/>
          <w:i/>
        </w:rPr>
        <w:t xml:space="preserve">In establishing need for the special variation, the relevant IP&amp;R documents should canvass alternatives to the rate rise.  In </w:t>
      </w:r>
      <w:r w:rsidRPr="00A35E66">
        <w:rPr>
          <w:rFonts w:ascii="Arial" w:hAnsi="Arial"/>
          <w:i/>
        </w:rPr>
        <w:t>demonstrating this need councils must indicate the financial impact in their Long Term Financial Plan applying the following two scenarios:</w:t>
      </w:r>
    </w:p>
    <w:p w:rsidR="00D60EA5" w:rsidRPr="00A35E66" w:rsidRDefault="00D60EA5" w:rsidP="00D60EA5">
      <w:pPr>
        <w:pStyle w:val="QuoteBullet"/>
        <w:rPr>
          <w:rFonts w:ascii="Arial" w:hAnsi="Arial"/>
          <w:i/>
        </w:rPr>
      </w:pPr>
      <w:r w:rsidRPr="00A35E66">
        <w:rPr>
          <w:rFonts w:ascii="Arial" w:hAnsi="Arial"/>
          <w:i/>
        </w:rPr>
        <w:t xml:space="preserve">Baseline scenario – </w:t>
      </w:r>
      <w:r w:rsidR="00FB4BAA" w:rsidRPr="00A35E66">
        <w:rPr>
          <w:rFonts w:ascii="Arial" w:hAnsi="Arial"/>
          <w:i/>
        </w:rPr>
        <w:t xml:space="preserve">General Fund </w:t>
      </w:r>
      <w:r w:rsidRPr="00A35E66">
        <w:rPr>
          <w:rFonts w:ascii="Arial" w:hAnsi="Arial"/>
          <w:i/>
        </w:rPr>
        <w:t>revenue and expe</w:t>
      </w:r>
      <w:r w:rsidR="00C702CF" w:rsidRPr="00A35E66">
        <w:rPr>
          <w:rFonts w:ascii="Arial" w:hAnsi="Arial"/>
          <w:i/>
        </w:rPr>
        <w:t>nditure forecasts which reflect</w:t>
      </w:r>
      <w:r w:rsidRPr="00A35E66">
        <w:rPr>
          <w:rFonts w:ascii="Arial" w:hAnsi="Arial"/>
          <w:i/>
        </w:rPr>
        <w:t xml:space="preserve"> the business as usual model, and exclude the special variation, and</w:t>
      </w:r>
    </w:p>
    <w:p w:rsidR="00D60EA5" w:rsidRPr="00A35E66" w:rsidRDefault="00D60EA5" w:rsidP="00D60EA5">
      <w:pPr>
        <w:pStyle w:val="QuoteBullet"/>
        <w:rPr>
          <w:rFonts w:ascii="Arial" w:hAnsi="Arial"/>
          <w:i/>
        </w:rPr>
      </w:pPr>
      <w:r w:rsidRPr="00A35E66">
        <w:rPr>
          <w:rFonts w:ascii="Arial" w:hAnsi="Arial"/>
          <w:i/>
        </w:rPr>
        <w:t xml:space="preserve">Special variation scenario – the result of approving the special variation in full is shown and reflected in the </w:t>
      </w:r>
      <w:r w:rsidR="00FB4BAA" w:rsidRPr="00A35E66">
        <w:rPr>
          <w:rFonts w:ascii="Arial" w:hAnsi="Arial"/>
          <w:i/>
        </w:rPr>
        <w:t xml:space="preserve">General Fund </w:t>
      </w:r>
      <w:r w:rsidRPr="00A35E66">
        <w:rPr>
          <w:rFonts w:ascii="Arial" w:hAnsi="Arial"/>
          <w:i/>
        </w:rPr>
        <w:t>revenue forecast with the additional expenditure levels intended to be funded by the special variation.</w:t>
      </w:r>
    </w:p>
    <w:p w:rsidR="002A25A8" w:rsidRPr="00A35E66" w:rsidRDefault="002A25A8" w:rsidP="002A25A8">
      <w:pPr>
        <w:pStyle w:val="Quote"/>
        <w:rPr>
          <w:rFonts w:ascii="Arial" w:hAnsi="Arial" w:cs="Arial"/>
          <w:i/>
        </w:rPr>
      </w:pPr>
      <w:r w:rsidRPr="00A35E66">
        <w:rPr>
          <w:rFonts w:ascii="Arial" w:hAnsi="Arial" w:cs="Arial"/>
          <w:i/>
        </w:rPr>
        <w:t>Evidence to establish this criterion could include evidence of community need /desire for service levels/projects and limited council resourcing alternatives.</w:t>
      </w:r>
    </w:p>
    <w:p w:rsidR="002A25A8" w:rsidRPr="00A35E66" w:rsidRDefault="002A25A8" w:rsidP="002A25A8">
      <w:pPr>
        <w:pStyle w:val="Quote"/>
        <w:rPr>
          <w:rFonts w:ascii="Arial" w:hAnsi="Arial" w:cs="Arial"/>
          <w:i/>
        </w:rPr>
      </w:pPr>
      <w:r w:rsidRPr="00A35E66">
        <w:rPr>
          <w:rFonts w:ascii="Arial" w:hAnsi="Arial" w:cs="Arial"/>
          <w:i/>
        </w:rPr>
        <w:t>Evidence could also include the assessment of the council’s financial sustainability conducted by the NSW Treasury Corporation.</w:t>
      </w:r>
    </w:p>
    <w:p w:rsidR="00F169FD" w:rsidRPr="00A35E66" w:rsidRDefault="00F169FD" w:rsidP="007D46AE">
      <w:pPr>
        <w:pStyle w:val="BodyText"/>
      </w:pPr>
      <w:r w:rsidRPr="00A35E66">
        <w:lastRenderedPageBreak/>
        <w:t xml:space="preserve">The response to this criterion should summarise the council’s case for the proposed special variation.  It is necessary to show how the council has identified and considered its community’s needs, alternative funding options </w:t>
      </w:r>
      <w:r w:rsidR="00F804A5" w:rsidRPr="00A35E66">
        <w:t xml:space="preserve">(to a </w:t>
      </w:r>
      <w:r w:rsidR="00556D51" w:rsidRPr="00A35E66">
        <w:t>rates rise</w:t>
      </w:r>
      <w:r w:rsidR="00F804A5" w:rsidRPr="00A35E66">
        <w:t xml:space="preserve">) </w:t>
      </w:r>
      <w:r w:rsidRPr="00A35E66">
        <w:t>and the assessment of its financial sustainability as conducted by the NSW Treasury Corporation (</w:t>
      </w:r>
      <w:proofErr w:type="spellStart"/>
      <w:r w:rsidRPr="00A35E66">
        <w:t>TCorp</w:t>
      </w:r>
      <w:proofErr w:type="spellEnd"/>
      <w:r w:rsidRPr="00A35E66">
        <w:t>).</w:t>
      </w:r>
    </w:p>
    <w:p w:rsidR="00B822FE" w:rsidRPr="00A35E66" w:rsidRDefault="00F169FD" w:rsidP="00D60EA5">
      <w:pPr>
        <w:pStyle w:val="BodyText"/>
      </w:pPr>
      <w:r w:rsidRPr="00A35E66">
        <w:t xml:space="preserve">The criterion states that </w:t>
      </w:r>
      <w:r w:rsidR="00BC7BC6" w:rsidRPr="00A35E66">
        <w:t>the need for the special variation</w:t>
      </w:r>
      <w:r w:rsidRPr="00A35E66">
        <w:t xml:space="preserve"> must be identified and clearly articulated in the council’s IP&amp;R docum</w:t>
      </w:r>
      <w:r w:rsidR="00261E25" w:rsidRPr="00A35E66">
        <w:t>ents especially the Long Term Financial Plan (LTFP) and the Delivery Program, and, where appropriate, the Asset Management Plan (AMP).</w:t>
      </w:r>
      <w:r w:rsidR="00556D51" w:rsidRPr="00A35E66">
        <w:t xml:space="preserve">  The purpose of the special variation should also be consistent with the priorities of the Community Strategic Plan (CSP). </w:t>
      </w:r>
    </w:p>
    <w:p w:rsidR="00D60EA5" w:rsidRPr="00A35E66" w:rsidRDefault="00261E25" w:rsidP="00D60EA5">
      <w:pPr>
        <w:pStyle w:val="Heading2"/>
      </w:pPr>
      <w:bookmarkStart w:id="15" w:name="_Toc366160406"/>
      <w:bookmarkStart w:id="16" w:name="_Toc401138367"/>
      <w:r w:rsidRPr="00A35E66">
        <w:t>Case for special variation</w:t>
      </w:r>
      <w:r w:rsidR="0057581B" w:rsidRPr="00A35E66">
        <w:t xml:space="preserve"> - </w:t>
      </w:r>
      <w:r w:rsidR="00FE2452" w:rsidRPr="00A35E66">
        <w:t>c</w:t>
      </w:r>
      <w:r w:rsidR="00D60EA5" w:rsidRPr="00A35E66">
        <w:t>ommunity need</w:t>
      </w:r>
      <w:bookmarkEnd w:id="15"/>
      <w:bookmarkEnd w:id="16"/>
    </w:p>
    <w:p w:rsidR="004C7104" w:rsidRPr="00A35E66" w:rsidRDefault="004C7104" w:rsidP="00D60EA5">
      <w:pPr>
        <w:pStyle w:val="BodyText"/>
      </w:pPr>
      <w:r w:rsidRPr="00A35E66">
        <w:t xml:space="preserve">Summarise </w:t>
      </w:r>
      <w:r w:rsidR="00AF5DD9" w:rsidRPr="00A35E66">
        <w:t xml:space="preserve">and explain </w:t>
      </w:r>
      <w:r w:rsidRPr="00A35E66">
        <w:t>below:</w:t>
      </w:r>
    </w:p>
    <w:p w:rsidR="0057581B" w:rsidRPr="00A35E66" w:rsidRDefault="0057581B" w:rsidP="0071760B">
      <w:pPr>
        <w:pStyle w:val="ListBullet"/>
      </w:pPr>
      <w:r w:rsidRPr="00A35E66">
        <w:t>H</w:t>
      </w:r>
      <w:r w:rsidR="00D60EA5" w:rsidRPr="00A35E66">
        <w:t xml:space="preserve">ow </w:t>
      </w:r>
      <w:r w:rsidR="00C33D94" w:rsidRPr="00A35E66">
        <w:t xml:space="preserve">the council </w:t>
      </w:r>
      <w:r w:rsidR="00D60EA5" w:rsidRPr="00A35E66">
        <w:t>identified and considered the community’s needs and desires in relation to matters such as levels of service delivery and asset maintenance and provision</w:t>
      </w:r>
      <w:r w:rsidRPr="00A35E66">
        <w:t>.</w:t>
      </w:r>
    </w:p>
    <w:p w:rsidR="0057581B" w:rsidRPr="00A35E66" w:rsidRDefault="0057581B" w:rsidP="0071760B">
      <w:pPr>
        <w:pStyle w:val="ListBullet"/>
      </w:pPr>
      <w:r w:rsidRPr="00A35E66">
        <w:t>How the decision to seek higher revenues above the rate peg was made and which other options were examined, such as changing expenditure priorities or using alternative modes of service delivery.</w:t>
      </w:r>
    </w:p>
    <w:p w:rsidR="0057581B" w:rsidRPr="00A35E66" w:rsidRDefault="00C33D94" w:rsidP="0071760B">
      <w:pPr>
        <w:pStyle w:val="ListBullet"/>
      </w:pPr>
      <w:r w:rsidRPr="00A35E66">
        <w:t>W</w:t>
      </w:r>
      <w:r w:rsidR="0057581B" w:rsidRPr="00A35E66">
        <w:t xml:space="preserve">hy the special variation is the most appropriate option.  For example, typically </w:t>
      </w:r>
      <w:r w:rsidRPr="00A35E66">
        <w:t xml:space="preserve">other </w:t>
      </w:r>
      <w:r w:rsidR="0057581B" w:rsidRPr="00A35E66">
        <w:t xml:space="preserve">options would include introducing new or higher user charges and/or an increase in council </w:t>
      </w:r>
      <w:r w:rsidR="00FA5D54" w:rsidRPr="00A35E66">
        <w:t xml:space="preserve">loan </w:t>
      </w:r>
      <w:r w:rsidR="0057581B" w:rsidRPr="00A35E66">
        <w:t>borrowing</w:t>
      </w:r>
      <w:r w:rsidR="00FA5D54" w:rsidRPr="00A35E66">
        <w:t>s</w:t>
      </w:r>
      <w:r w:rsidR="0057581B" w:rsidRPr="00A35E66">
        <w:t>, or private public partnerships or joint ventures.</w:t>
      </w:r>
    </w:p>
    <w:p w:rsidR="0057581B" w:rsidRPr="00A35E66" w:rsidRDefault="0057581B" w:rsidP="0071760B">
      <w:pPr>
        <w:pStyle w:val="ListBullet"/>
      </w:pPr>
      <w:r w:rsidRPr="00A35E66">
        <w:t>How the proposed special variation impacts the LTFP forecasts and how this relates to the need the council identified. Our assessment will also consider the assumptions which underpin the council’s LTFP forecasts.</w:t>
      </w:r>
    </w:p>
    <w:p w:rsidR="00C33D94" w:rsidRPr="00A35E66" w:rsidRDefault="00C33D94" w:rsidP="00C33D94">
      <w:pPr>
        <w:pStyle w:val="BodyText"/>
      </w:pPr>
      <w:r w:rsidRPr="00A35E66">
        <w:t xml:space="preserve">In addressing this criterion, </w:t>
      </w:r>
      <w:r w:rsidR="008B1F5A" w:rsidRPr="00A35E66">
        <w:t>you should</w:t>
      </w:r>
      <w:r w:rsidR="005C3E6E" w:rsidRPr="00A35E66">
        <w:t xml:space="preserve"> </w:t>
      </w:r>
      <w:r w:rsidRPr="00A35E66">
        <w:t xml:space="preserve">include extracts from, or references to, the IP&amp;R document(s) that demonstrate how the council meets this criterion.  </w:t>
      </w:r>
    </w:p>
    <w:p w:rsidR="002C1768" w:rsidRPr="004C1B98" w:rsidRDefault="002C1768"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Council has known for some time it has an infrastructure asset renewal funding shortfall</w:t>
      </w:r>
      <w:r w:rsidR="00E9114D">
        <w:rPr>
          <w:highlight w:val="yellow"/>
        </w:rPr>
        <w:t xml:space="preserve">. </w:t>
      </w:r>
      <w:r w:rsidR="000C742E">
        <w:rPr>
          <w:highlight w:val="yellow"/>
        </w:rPr>
        <w:t>Despite the use of</w:t>
      </w:r>
      <w:r w:rsidRPr="004C1B98">
        <w:rPr>
          <w:highlight w:val="yellow"/>
        </w:rPr>
        <w:t xml:space="preserve"> sound asset management practices and assumptions which are underpinned by nationally recognised </w:t>
      </w:r>
      <w:r w:rsidR="001A3B71">
        <w:rPr>
          <w:highlight w:val="yellow"/>
        </w:rPr>
        <w:t xml:space="preserve">principles and </w:t>
      </w:r>
      <w:r w:rsidRPr="004C1B98">
        <w:rPr>
          <w:highlight w:val="yellow"/>
        </w:rPr>
        <w:t xml:space="preserve">methodologies </w:t>
      </w:r>
      <w:r w:rsidR="000C742E">
        <w:rPr>
          <w:highlight w:val="yellow"/>
        </w:rPr>
        <w:t>and supported by</w:t>
      </w:r>
      <w:r w:rsidRPr="004C1B98">
        <w:rPr>
          <w:highlight w:val="yellow"/>
        </w:rPr>
        <w:t xml:space="preserve"> bodies such as IPWEA</w:t>
      </w:r>
      <w:r w:rsidR="000C742E">
        <w:rPr>
          <w:highlight w:val="yellow"/>
        </w:rPr>
        <w:t>, Marrickville has a</w:t>
      </w:r>
      <w:r w:rsidR="001A3B71">
        <w:rPr>
          <w:highlight w:val="yellow"/>
        </w:rPr>
        <w:t>n</w:t>
      </w:r>
      <w:r w:rsidR="000C742E">
        <w:rPr>
          <w:highlight w:val="yellow"/>
        </w:rPr>
        <w:t xml:space="preserve"> </w:t>
      </w:r>
      <w:r w:rsidR="001A3B71">
        <w:rPr>
          <w:highlight w:val="yellow"/>
        </w:rPr>
        <w:t xml:space="preserve">infrastructure asset renewal </w:t>
      </w:r>
      <w:r w:rsidR="000C742E">
        <w:rPr>
          <w:highlight w:val="yellow"/>
        </w:rPr>
        <w:t>f</w:t>
      </w:r>
      <w:r w:rsidR="001E554E">
        <w:rPr>
          <w:highlight w:val="yellow"/>
        </w:rPr>
        <w:t xml:space="preserve">unding </w:t>
      </w:r>
      <w:r w:rsidR="001A3B71">
        <w:rPr>
          <w:highlight w:val="yellow"/>
        </w:rPr>
        <w:t xml:space="preserve">shortfall </w:t>
      </w:r>
      <w:r w:rsidR="001E554E">
        <w:rPr>
          <w:highlight w:val="yellow"/>
        </w:rPr>
        <w:t>issue</w:t>
      </w:r>
      <w:r w:rsidRPr="004C1B98">
        <w:rPr>
          <w:highlight w:val="yellow"/>
        </w:rPr>
        <w:t>.</w:t>
      </w:r>
      <w:r w:rsidR="001E554E">
        <w:rPr>
          <w:highlight w:val="yellow"/>
        </w:rPr>
        <w:t xml:space="preserve"> We simply do not have sufficient </w:t>
      </w:r>
      <w:r w:rsidR="001A3B71">
        <w:rPr>
          <w:highlight w:val="yellow"/>
        </w:rPr>
        <w:t>finances</w:t>
      </w:r>
      <w:r w:rsidR="001E554E">
        <w:rPr>
          <w:highlight w:val="yellow"/>
        </w:rPr>
        <w:t xml:space="preserve"> to close the </w:t>
      </w:r>
      <w:r w:rsidR="001A3B71">
        <w:rPr>
          <w:highlight w:val="yellow"/>
        </w:rPr>
        <w:t xml:space="preserve">annual asset </w:t>
      </w:r>
      <w:r w:rsidR="001E554E">
        <w:rPr>
          <w:highlight w:val="yellow"/>
        </w:rPr>
        <w:t>renewal funding gap.</w:t>
      </w:r>
    </w:p>
    <w:p w:rsidR="002C1768" w:rsidRPr="004C1B98" w:rsidRDefault="001E554E" w:rsidP="00DA06D8">
      <w:pPr>
        <w:pStyle w:val="BodyText"/>
        <w:pBdr>
          <w:top w:val="single" w:sz="4" w:space="1" w:color="auto"/>
          <w:left w:val="single" w:sz="4" w:space="4" w:color="auto"/>
          <w:bottom w:val="single" w:sz="4" w:space="1" w:color="auto"/>
          <w:right w:val="single" w:sz="4" w:space="4" w:color="auto"/>
        </w:pBdr>
        <w:rPr>
          <w:highlight w:val="yellow"/>
        </w:rPr>
      </w:pPr>
      <w:r>
        <w:rPr>
          <w:highlight w:val="yellow"/>
        </w:rPr>
        <w:t xml:space="preserve">Whilst our systems and processes were </w:t>
      </w:r>
      <w:r w:rsidR="001A3B71">
        <w:rPr>
          <w:highlight w:val="yellow"/>
        </w:rPr>
        <w:t xml:space="preserve">considered </w:t>
      </w:r>
      <w:r>
        <w:rPr>
          <w:highlight w:val="yellow"/>
        </w:rPr>
        <w:t>sound, our service levels ha</w:t>
      </w:r>
      <w:r w:rsidR="002C1768" w:rsidRPr="004C1B98">
        <w:rPr>
          <w:highlight w:val="yellow"/>
        </w:rPr>
        <w:t>d not been tested</w:t>
      </w:r>
      <w:r>
        <w:rPr>
          <w:highlight w:val="yellow"/>
        </w:rPr>
        <w:t xml:space="preserve"> against</w:t>
      </w:r>
      <w:r w:rsidR="002C1768" w:rsidRPr="004C1B98">
        <w:rPr>
          <w:highlight w:val="yellow"/>
        </w:rPr>
        <w:t xml:space="preserve"> those </w:t>
      </w:r>
      <w:r>
        <w:rPr>
          <w:highlight w:val="yellow"/>
        </w:rPr>
        <w:t>shared by the general community</w:t>
      </w:r>
      <w:r w:rsidR="002C1768" w:rsidRPr="004C1B98">
        <w:rPr>
          <w:highlight w:val="yellow"/>
        </w:rPr>
        <w:t>. Enter the Marrickville Infrastructure Jury. Part of the Jury’s remit was to determine a desirable level of service for Council’s existing network of infrastructure assets and develop funding options for same.</w:t>
      </w:r>
    </w:p>
    <w:p w:rsidR="00B0372B" w:rsidRPr="004C1B98" w:rsidRDefault="002C1768"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lastRenderedPageBreak/>
        <w:t xml:space="preserve">The Jury was given </w:t>
      </w:r>
      <w:r w:rsidR="00266BE0">
        <w:rPr>
          <w:highlight w:val="yellow"/>
        </w:rPr>
        <w:t xml:space="preserve">relevant </w:t>
      </w:r>
      <w:r w:rsidR="00B0372B" w:rsidRPr="004C1B98">
        <w:rPr>
          <w:highlight w:val="yellow"/>
        </w:rPr>
        <w:t xml:space="preserve">information </w:t>
      </w:r>
      <w:r w:rsidR="00CC6006">
        <w:rPr>
          <w:highlight w:val="yellow"/>
        </w:rPr>
        <w:t>to</w:t>
      </w:r>
      <w:r w:rsidR="00B0372B" w:rsidRPr="004C1B98">
        <w:rPr>
          <w:highlight w:val="yellow"/>
        </w:rPr>
        <w:t xml:space="preserve"> assist them in arriving at a determination. In addition to the technical engineering data and information they needed to analyse, the Jury was also given risk management and financial management advice, as well as a snapshot of the 2014 Community Satisfaction Survey</w:t>
      </w:r>
      <w:r w:rsidR="00266BE0">
        <w:rPr>
          <w:highlight w:val="yellow"/>
        </w:rPr>
        <w:t xml:space="preserve"> results</w:t>
      </w:r>
      <w:r w:rsidR="00B0372B" w:rsidRPr="004C1B98">
        <w:rPr>
          <w:highlight w:val="yellow"/>
        </w:rPr>
        <w:t xml:space="preserve">. Not surprisingly, the Satisfaction Survey highlighted </w:t>
      </w:r>
      <w:r w:rsidR="00266BE0">
        <w:rPr>
          <w:highlight w:val="yellow"/>
        </w:rPr>
        <w:t>a performance gap in the community’s</w:t>
      </w:r>
      <w:r w:rsidR="00B0372B" w:rsidRPr="004C1B98">
        <w:rPr>
          <w:highlight w:val="yellow"/>
        </w:rPr>
        <w:t xml:space="preserve"> satisfaction </w:t>
      </w:r>
      <w:r w:rsidR="00266BE0">
        <w:rPr>
          <w:highlight w:val="yellow"/>
        </w:rPr>
        <w:t xml:space="preserve">with </w:t>
      </w:r>
      <w:r w:rsidR="00B0372B" w:rsidRPr="004C1B98">
        <w:rPr>
          <w:highlight w:val="yellow"/>
        </w:rPr>
        <w:t>local infrastructure assets</w:t>
      </w:r>
      <w:r w:rsidR="00CC6006">
        <w:rPr>
          <w:highlight w:val="yellow"/>
        </w:rPr>
        <w:t>, particularly local roads and footpaths</w:t>
      </w:r>
      <w:r w:rsidR="00B0372B" w:rsidRPr="004C1B98">
        <w:rPr>
          <w:highlight w:val="yellow"/>
        </w:rPr>
        <w:t>.</w:t>
      </w:r>
    </w:p>
    <w:p w:rsidR="00B0372B" w:rsidRPr="004C1B98" w:rsidRDefault="00B0372B"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The Jury </w:t>
      </w:r>
      <w:r w:rsidR="00CC6006">
        <w:rPr>
          <w:highlight w:val="yellow"/>
        </w:rPr>
        <w:t xml:space="preserve">was also given </w:t>
      </w:r>
      <w:r w:rsidRPr="004C1B98">
        <w:rPr>
          <w:highlight w:val="yellow"/>
        </w:rPr>
        <w:t>access to Council’s suite of IP&amp;R documents</w:t>
      </w:r>
      <w:r w:rsidR="00266BE0">
        <w:rPr>
          <w:highlight w:val="yellow"/>
        </w:rPr>
        <w:t xml:space="preserve">, financial health indicators </w:t>
      </w:r>
      <w:r w:rsidRPr="004C1B98">
        <w:rPr>
          <w:highlight w:val="yellow"/>
        </w:rPr>
        <w:t xml:space="preserve">and the rating scenarios Council had modelled in its Long Term Financial Plan and Asset Management Plans. </w:t>
      </w:r>
    </w:p>
    <w:p w:rsidR="00903E2E" w:rsidRPr="004C1B98" w:rsidRDefault="00B0372B"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For the Jury, the need for additional funding to eliminate the infrastructure asset renewal funding shortfall was obvious. </w:t>
      </w:r>
      <w:r w:rsidR="00CC6006">
        <w:rPr>
          <w:highlight w:val="yellow"/>
        </w:rPr>
        <w:t>Importantly, t</w:t>
      </w:r>
      <w:r w:rsidR="0036089D">
        <w:rPr>
          <w:highlight w:val="yellow"/>
        </w:rPr>
        <w:t xml:space="preserve">he </w:t>
      </w:r>
      <w:r w:rsidRPr="004C1B98">
        <w:rPr>
          <w:highlight w:val="yellow"/>
        </w:rPr>
        <w:t xml:space="preserve">Jury </w:t>
      </w:r>
      <w:r w:rsidR="00CC6006">
        <w:rPr>
          <w:highlight w:val="yellow"/>
        </w:rPr>
        <w:t xml:space="preserve">themselves </w:t>
      </w:r>
      <w:r w:rsidR="0036089D">
        <w:rPr>
          <w:highlight w:val="yellow"/>
        </w:rPr>
        <w:t xml:space="preserve">acknowledged </w:t>
      </w:r>
      <w:r w:rsidRPr="004C1B98">
        <w:rPr>
          <w:highlight w:val="yellow"/>
        </w:rPr>
        <w:t xml:space="preserve">that additional funding for infrastructure asset renewal was </w:t>
      </w:r>
      <w:r w:rsidR="00903E2E" w:rsidRPr="004C1B98">
        <w:rPr>
          <w:highlight w:val="yellow"/>
        </w:rPr>
        <w:t xml:space="preserve">critical to Council’s long term financial sustainability. </w:t>
      </w:r>
    </w:p>
    <w:p w:rsidR="00903E2E" w:rsidRPr="004C1B98" w:rsidRDefault="00903E2E"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The Jury spent considerable time examining Council’s documents, particularly the Resource Strategy (that underpins the Community Strategic Plan), the Long Term Financial Plan and the Asset Management Plans. </w:t>
      </w:r>
    </w:p>
    <w:p w:rsidR="00903E2E" w:rsidRPr="004C1B98" w:rsidRDefault="00903E2E"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The Jury satisfied themselves there was sufficient evidence in Council’s documents to support the ‘need’ for additional funding. It was then left to the Jury to determine ‘how’ they would finance that need.</w:t>
      </w:r>
    </w:p>
    <w:p w:rsidR="00CC6006" w:rsidRDefault="00903E2E"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In terms of financing the need, a whole range of options were put on the table. Productivity </w:t>
      </w:r>
      <w:proofErr w:type="gramStart"/>
      <w:r w:rsidR="00CC6006">
        <w:rPr>
          <w:highlight w:val="yellow"/>
        </w:rPr>
        <w:t>i</w:t>
      </w:r>
      <w:r w:rsidRPr="004C1B98">
        <w:rPr>
          <w:highlight w:val="yellow"/>
        </w:rPr>
        <w:t>mprovements,</w:t>
      </w:r>
      <w:proofErr w:type="gramEnd"/>
      <w:r w:rsidRPr="004C1B98">
        <w:rPr>
          <w:highlight w:val="yellow"/>
        </w:rPr>
        <w:t xml:space="preserve"> increased parking </w:t>
      </w:r>
      <w:r w:rsidR="00CC6006">
        <w:rPr>
          <w:highlight w:val="yellow"/>
        </w:rPr>
        <w:t>related</w:t>
      </w:r>
      <w:r w:rsidR="000A1AA3" w:rsidRPr="004C1B98">
        <w:rPr>
          <w:highlight w:val="yellow"/>
        </w:rPr>
        <w:t xml:space="preserve"> revenue, increased loan borrowings and differential user fees and charges were all examined by the Jury. </w:t>
      </w:r>
    </w:p>
    <w:p w:rsidR="000A1AA3" w:rsidRPr="004C1B98" w:rsidRDefault="000A1AA3"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In the end, the Jury settled on a mix of productivity improvements and a modest 3% additional rate increase as a way of funding the annual infrastructure asset renewal shortfall and recommending that Council continue to explore parking related revenue to fund new priority capital works in the future.</w:t>
      </w:r>
    </w:p>
    <w:p w:rsidR="000A1AA3" w:rsidRPr="004C1B98" w:rsidRDefault="000A1AA3"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In arriving at a decision to increase rates by an additional 3%, the Jury accepted that it is a ‘guaranteed’ source of revenue equitably distributed across all ratepayers as opposed to ‘speculative’ revenue that may or may not eventuate, as was the case with parking related revenue</w:t>
      </w:r>
      <w:r w:rsidR="00973A72">
        <w:rPr>
          <w:highlight w:val="yellow"/>
        </w:rPr>
        <w:t xml:space="preserve"> at this point in time</w:t>
      </w:r>
      <w:r w:rsidRPr="004C1B98">
        <w:rPr>
          <w:highlight w:val="yellow"/>
        </w:rPr>
        <w:t>.</w:t>
      </w:r>
    </w:p>
    <w:p w:rsidR="000A1AA3" w:rsidRPr="004C1B98" w:rsidRDefault="000A1AA3" w:rsidP="00DA06D8">
      <w:pPr>
        <w:pStyle w:val="BodyText"/>
        <w:pBdr>
          <w:top w:val="single" w:sz="4" w:space="1" w:color="auto"/>
          <w:left w:val="single" w:sz="4" w:space="4" w:color="auto"/>
          <w:bottom w:val="single" w:sz="4" w:space="1" w:color="auto"/>
          <w:right w:val="single" w:sz="4" w:space="4" w:color="auto"/>
        </w:pBdr>
        <w:rPr>
          <w:b/>
          <w:highlight w:val="yellow"/>
        </w:rPr>
      </w:pPr>
      <w:r w:rsidRPr="004C1B98">
        <w:rPr>
          <w:b/>
          <w:sz w:val="32"/>
          <w:szCs w:val="32"/>
          <w:highlight w:val="yellow"/>
        </w:rPr>
        <w:t>Reference Information</w:t>
      </w:r>
      <w:r w:rsidRPr="004C1B98">
        <w:rPr>
          <w:b/>
          <w:highlight w:val="yellow"/>
        </w:rPr>
        <w:t>:</w:t>
      </w:r>
    </w:p>
    <w:p w:rsidR="00AE60C3" w:rsidRPr="004C1B98" w:rsidRDefault="00AE60C3" w:rsidP="00DA06D8">
      <w:pPr>
        <w:pStyle w:val="BodyText"/>
        <w:pBdr>
          <w:top w:val="single" w:sz="4" w:space="1" w:color="auto"/>
          <w:left w:val="single" w:sz="4" w:space="4" w:color="auto"/>
          <w:bottom w:val="single" w:sz="4" w:space="1" w:color="auto"/>
          <w:right w:val="single" w:sz="4" w:space="4" w:color="auto"/>
        </w:pBdr>
        <w:rPr>
          <w:b/>
          <w:highlight w:val="yellow"/>
          <w:u w:val="single"/>
        </w:rPr>
      </w:pPr>
      <w:r w:rsidRPr="004C1B98">
        <w:rPr>
          <w:b/>
          <w:highlight w:val="yellow"/>
          <w:u w:val="single"/>
        </w:rPr>
        <w:t>Resource Strategy</w:t>
      </w:r>
      <w:r w:rsidR="00EE0188" w:rsidRPr="004C1B98">
        <w:rPr>
          <w:b/>
          <w:highlight w:val="yellow"/>
          <w:u w:val="single"/>
        </w:rPr>
        <w:t xml:space="preserve"> (</w:t>
      </w:r>
      <w:r w:rsidR="00404786">
        <w:rPr>
          <w:b/>
          <w:highlight w:val="yellow"/>
          <w:u w:val="single"/>
        </w:rPr>
        <w:t>Appendix</w:t>
      </w:r>
      <w:r w:rsidR="00EE0188" w:rsidRPr="004C1B98">
        <w:rPr>
          <w:b/>
          <w:highlight w:val="yellow"/>
          <w:u w:val="single"/>
        </w:rPr>
        <w:t xml:space="preserve"> </w:t>
      </w:r>
      <w:r w:rsidR="00F91221">
        <w:rPr>
          <w:b/>
          <w:highlight w:val="yellow"/>
          <w:u w:val="single"/>
        </w:rPr>
        <w:t>01</w:t>
      </w:r>
      <w:r w:rsidR="00EE0188" w:rsidRPr="004C1B98">
        <w:rPr>
          <w:b/>
          <w:highlight w:val="yellow"/>
          <w:u w:val="single"/>
        </w:rPr>
        <w:t>)</w:t>
      </w:r>
      <w:r w:rsidRPr="004C1B98">
        <w:rPr>
          <w:b/>
          <w:highlight w:val="yellow"/>
          <w:u w:val="single"/>
        </w:rPr>
        <w:t xml:space="preserve"> </w:t>
      </w:r>
    </w:p>
    <w:p w:rsidR="000A1AA3" w:rsidRPr="004C1B98" w:rsidRDefault="00DF19E5" w:rsidP="00DA06D8">
      <w:pPr>
        <w:pStyle w:val="BodyText"/>
        <w:pBdr>
          <w:top w:val="single" w:sz="4" w:space="1" w:color="auto"/>
          <w:left w:val="single" w:sz="4" w:space="4" w:color="auto"/>
          <w:bottom w:val="single" w:sz="4" w:space="1" w:color="auto"/>
          <w:right w:val="single" w:sz="4" w:space="4" w:color="auto"/>
        </w:pBdr>
        <w:rPr>
          <w:highlight w:val="yellow"/>
        </w:rPr>
      </w:pPr>
      <w:r>
        <w:rPr>
          <w:highlight w:val="yellow"/>
        </w:rPr>
        <w:t xml:space="preserve">The 3 </w:t>
      </w:r>
      <w:r w:rsidR="00AE60C3" w:rsidRPr="004C1B98">
        <w:rPr>
          <w:highlight w:val="yellow"/>
        </w:rPr>
        <w:t>Resourcing Scenarios (page 4</w:t>
      </w:r>
      <w:r w:rsidR="00EE0188" w:rsidRPr="004C1B98">
        <w:rPr>
          <w:highlight w:val="yellow"/>
        </w:rPr>
        <w:t>)</w:t>
      </w:r>
    </w:p>
    <w:p w:rsidR="00AE60C3" w:rsidRPr="004C1B98" w:rsidRDefault="00AE60C3"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Proposed SRV Information (pages 5-8</w:t>
      </w:r>
      <w:r w:rsidR="00EE0188" w:rsidRPr="004C1B98">
        <w:rPr>
          <w:highlight w:val="yellow"/>
        </w:rPr>
        <w:t>)</w:t>
      </w:r>
      <w:r w:rsidRPr="004C1B98">
        <w:rPr>
          <w:highlight w:val="yellow"/>
        </w:rPr>
        <w:t xml:space="preserve"> </w:t>
      </w:r>
    </w:p>
    <w:p w:rsidR="00AE60C3" w:rsidRPr="004C1B98" w:rsidRDefault="00EE0188"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Community Survey Results (page 25) </w:t>
      </w:r>
    </w:p>
    <w:p w:rsidR="00432493" w:rsidRDefault="00EE0188" w:rsidP="00DA06D8">
      <w:pPr>
        <w:pStyle w:val="BodyText"/>
        <w:pBdr>
          <w:top w:val="single" w:sz="4" w:space="1" w:color="auto"/>
          <w:left w:val="single" w:sz="4" w:space="4" w:color="auto"/>
          <w:bottom w:val="single" w:sz="4" w:space="1" w:color="auto"/>
          <w:right w:val="single" w:sz="4" w:space="4" w:color="auto"/>
        </w:pBdr>
      </w:pPr>
      <w:r w:rsidRPr="004C1B98">
        <w:rPr>
          <w:highlight w:val="yellow"/>
        </w:rPr>
        <w:lastRenderedPageBreak/>
        <w:t>Infrastructure Asset Renewal Funding Shortfall (pages 26-27)</w:t>
      </w:r>
      <w:r w:rsidR="002C1768" w:rsidRPr="00A35E66">
        <w:t xml:space="preserve"> </w:t>
      </w:r>
    </w:p>
    <w:p w:rsidR="00B8498C" w:rsidRPr="00A35E66" w:rsidRDefault="00B8498C" w:rsidP="00DA06D8">
      <w:pPr>
        <w:pStyle w:val="BodyText"/>
        <w:pBdr>
          <w:top w:val="single" w:sz="4" w:space="1" w:color="auto"/>
          <w:left w:val="single" w:sz="4" w:space="4" w:color="auto"/>
          <w:bottom w:val="single" w:sz="4" w:space="1" w:color="auto"/>
          <w:right w:val="single" w:sz="4" w:space="4" w:color="auto"/>
        </w:pBdr>
      </w:pPr>
      <w:r w:rsidRPr="00B8498C">
        <w:rPr>
          <w:b/>
          <w:highlight w:val="yellow"/>
          <w:u w:val="single"/>
        </w:rPr>
        <w:t>Delivery Program</w:t>
      </w:r>
      <w:r>
        <w:rPr>
          <w:b/>
          <w:highlight w:val="yellow"/>
          <w:u w:val="single"/>
        </w:rPr>
        <w:t xml:space="preserve"> (Appendix 02)</w:t>
      </w:r>
    </w:p>
    <w:p w:rsidR="00D60EA5" w:rsidRPr="00A35E66" w:rsidRDefault="003B7983" w:rsidP="00D60EA5">
      <w:pPr>
        <w:pStyle w:val="Heading2"/>
      </w:pPr>
      <w:bookmarkStart w:id="17" w:name="_Toc366160408"/>
      <w:bookmarkStart w:id="18" w:name="_Toc401138368"/>
      <w:r w:rsidRPr="00A35E66">
        <w:t>F</w:t>
      </w:r>
      <w:r w:rsidR="00D60EA5" w:rsidRPr="00A35E66">
        <w:t>inancial sustainability</w:t>
      </w:r>
      <w:bookmarkEnd w:id="17"/>
      <w:bookmarkEnd w:id="18"/>
    </w:p>
    <w:p w:rsidR="00D60EA5" w:rsidRPr="00A35E66" w:rsidRDefault="00D60EA5" w:rsidP="00D60EA5">
      <w:pPr>
        <w:pStyle w:val="BodyText"/>
      </w:pPr>
      <w:r w:rsidRPr="00A35E66">
        <w:t>The special variation may be intended to improve the council’s underlying financial position, or to fund specific projects or programs of expenditure, or a combination of the two.  We will consider evidence about the council’s current and fu</w:t>
      </w:r>
      <w:r w:rsidR="00B84AA8" w:rsidRPr="00A35E66">
        <w:t>ture financial sustainability</w:t>
      </w:r>
      <w:r w:rsidR="00DF7955" w:rsidRPr="00A35E66">
        <w:t xml:space="preserve"> and the assumptions it has made in coming to a view on its financial sustainability</w:t>
      </w:r>
      <w:r w:rsidR="00B84AA8" w:rsidRPr="00A35E66">
        <w:t>.</w:t>
      </w:r>
    </w:p>
    <w:p w:rsidR="00F93834" w:rsidRPr="00A35E66" w:rsidRDefault="008B1F5A" w:rsidP="00F93834">
      <w:pPr>
        <w:pStyle w:val="BodyText"/>
      </w:pPr>
      <w:r w:rsidRPr="00A35E66">
        <w:t>You should e</w:t>
      </w:r>
      <w:r w:rsidR="00576F7F" w:rsidRPr="00A35E66">
        <w:t>xplain below</w:t>
      </w:r>
      <w:r w:rsidR="00F93834" w:rsidRPr="00A35E66">
        <w:t>:</w:t>
      </w:r>
    </w:p>
    <w:p w:rsidR="00330E5C" w:rsidRPr="00A35E66" w:rsidRDefault="00330E5C" w:rsidP="0071760B">
      <w:pPr>
        <w:pStyle w:val="ListBullet"/>
      </w:pPr>
      <w:r w:rsidRPr="00A35E66">
        <w:t>T</w:t>
      </w:r>
      <w:r w:rsidR="005F7648" w:rsidRPr="00A35E66">
        <w:t xml:space="preserve">he </w:t>
      </w:r>
      <w:proofErr w:type="gramStart"/>
      <w:r w:rsidR="005F7648" w:rsidRPr="00A35E66">
        <w:t xml:space="preserve">council’s </w:t>
      </w:r>
      <w:r w:rsidR="00D60EA5" w:rsidRPr="00A35E66">
        <w:t>understanding</w:t>
      </w:r>
      <w:proofErr w:type="gramEnd"/>
      <w:r w:rsidR="00D60EA5" w:rsidRPr="00A35E66">
        <w:t xml:space="preserve"> of its current state of financial sustainability, </w:t>
      </w:r>
      <w:r w:rsidRPr="00A35E66">
        <w:t>its</w:t>
      </w:r>
      <w:r w:rsidR="00D60EA5" w:rsidRPr="00A35E66">
        <w:t xml:space="preserve"> long-term projections based on alternative scenarios and assumptions about revenue and expenditure</w:t>
      </w:r>
      <w:r w:rsidRPr="00A35E66">
        <w:t>.</w:t>
      </w:r>
      <w:r w:rsidR="00D60EA5" w:rsidRPr="00A35E66">
        <w:t xml:space="preserve"> </w:t>
      </w:r>
    </w:p>
    <w:p w:rsidR="005F7648" w:rsidRPr="00A35E66" w:rsidRDefault="00511A12" w:rsidP="0071760B">
      <w:pPr>
        <w:pStyle w:val="ListBullet"/>
      </w:pPr>
      <w:r w:rsidRPr="00A35E66">
        <w:t>A</w:t>
      </w:r>
      <w:r w:rsidR="00D60EA5" w:rsidRPr="00A35E66">
        <w:t>ny external assessment</w:t>
      </w:r>
      <w:r w:rsidR="00330E5C" w:rsidRPr="00A35E66">
        <w:t xml:space="preserve"> of the council’s financial sustainability</w:t>
      </w:r>
      <w:r w:rsidR="00D60EA5" w:rsidRPr="00A35E66">
        <w:t xml:space="preserve">, </w:t>
      </w:r>
      <w:proofErr w:type="spellStart"/>
      <w:r w:rsidR="00D60EA5" w:rsidRPr="00A35E66">
        <w:t>eg</w:t>
      </w:r>
      <w:proofErr w:type="spellEnd"/>
      <w:r w:rsidR="00B84AA8" w:rsidRPr="00A35E66">
        <w:t>,</w:t>
      </w:r>
      <w:r w:rsidR="00A452DF" w:rsidRPr="00A35E66">
        <w:t xml:space="preserve"> by auditors or </w:t>
      </w:r>
      <w:proofErr w:type="spellStart"/>
      <w:r w:rsidR="00A452DF" w:rsidRPr="00A35E66">
        <w:t>TCorp</w:t>
      </w:r>
      <w:proofErr w:type="spellEnd"/>
      <w:r w:rsidRPr="00A35E66">
        <w:t xml:space="preserve">.  Indicate </w:t>
      </w:r>
      <w:r w:rsidR="005F7648" w:rsidRPr="00A35E66">
        <w:t xml:space="preserve">how </w:t>
      </w:r>
      <w:r w:rsidR="000E41D5" w:rsidRPr="00A35E66">
        <w:t xml:space="preserve">such </w:t>
      </w:r>
      <w:proofErr w:type="gramStart"/>
      <w:r w:rsidR="003B7983" w:rsidRPr="00A35E66">
        <w:t>assessment</w:t>
      </w:r>
      <w:r w:rsidR="000E41D5" w:rsidRPr="00A35E66">
        <w:t>s</w:t>
      </w:r>
      <w:r w:rsidR="005F7648" w:rsidRPr="00A35E66">
        <w:t xml:space="preserve"> o</w:t>
      </w:r>
      <w:r w:rsidR="003B7983" w:rsidRPr="00A35E66">
        <w:t>f</w:t>
      </w:r>
      <w:r w:rsidR="005F7648" w:rsidRPr="00A35E66">
        <w:t xml:space="preserve"> the council’s financial sustainability is</w:t>
      </w:r>
      <w:proofErr w:type="gramEnd"/>
      <w:r w:rsidR="005F7648" w:rsidRPr="00A35E66">
        <w:t xml:space="preserve"> relevant </w:t>
      </w:r>
      <w:r w:rsidR="003B7983" w:rsidRPr="00A35E66">
        <w:t>to</w:t>
      </w:r>
      <w:r w:rsidR="005F7648" w:rsidRPr="00A35E66">
        <w:t xml:space="preserve"> supporting the decision to apply for a special variation</w:t>
      </w:r>
      <w:r w:rsidRPr="00A35E66">
        <w:t>.</w:t>
      </w:r>
    </w:p>
    <w:p w:rsidR="00D60EA5" w:rsidRPr="00A35E66" w:rsidRDefault="00511A12" w:rsidP="0071760B">
      <w:pPr>
        <w:pStyle w:val="ListBullet"/>
      </w:pPr>
      <w:r w:rsidRPr="00A35E66">
        <w:t>T</w:t>
      </w:r>
      <w:r w:rsidR="005F7648" w:rsidRPr="00A35E66">
        <w:t xml:space="preserve">he council’s </w:t>
      </w:r>
      <w:r w:rsidR="00D60EA5" w:rsidRPr="00A35E66">
        <w:t xml:space="preserve">view of </w:t>
      </w:r>
      <w:r w:rsidR="00F93834" w:rsidRPr="00A35E66">
        <w:t xml:space="preserve">the impact </w:t>
      </w:r>
      <w:r w:rsidRPr="00A35E66">
        <w:t xml:space="preserve">of the special variation </w:t>
      </w:r>
      <w:r w:rsidR="00F93834" w:rsidRPr="00A35E66">
        <w:t xml:space="preserve">on </w:t>
      </w:r>
      <w:r w:rsidR="00D60EA5" w:rsidRPr="00A35E66">
        <w:t>its financial sustainabili</w:t>
      </w:r>
      <w:r w:rsidR="006B30D8" w:rsidRPr="00A35E66">
        <w:t>ty</w:t>
      </w:r>
      <w:r w:rsidRPr="00A35E66">
        <w:t>.</w:t>
      </w:r>
    </w:p>
    <w:p w:rsidR="002E4980" w:rsidRPr="004C1B98" w:rsidRDefault="00F673E4"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Marrickville Council has a proud record of sound financial management. To some extent, this is evidenced by the fact that it has only </w:t>
      </w:r>
      <w:r w:rsidR="0036089D">
        <w:rPr>
          <w:highlight w:val="yellow"/>
        </w:rPr>
        <w:t xml:space="preserve">ever </w:t>
      </w:r>
      <w:r w:rsidRPr="004C1B98">
        <w:rPr>
          <w:highlight w:val="yellow"/>
        </w:rPr>
        <w:t xml:space="preserve">sought </w:t>
      </w:r>
      <w:r w:rsidR="0036089D">
        <w:rPr>
          <w:highlight w:val="yellow"/>
        </w:rPr>
        <w:t xml:space="preserve">a </w:t>
      </w:r>
      <w:r w:rsidRPr="004C1B98">
        <w:rPr>
          <w:highlight w:val="yellow"/>
        </w:rPr>
        <w:t xml:space="preserve">special rate variation to fund </w:t>
      </w:r>
      <w:r w:rsidR="0036089D">
        <w:rPr>
          <w:highlight w:val="yellow"/>
        </w:rPr>
        <w:t>the construction of two major</w:t>
      </w:r>
      <w:r w:rsidRPr="004C1B98">
        <w:rPr>
          <w:highlight w:val="yellow"/>
        </w:rPr>
        <w:t xml:space="preserve"> aquatic centres. </w:t>
      </w:r>
      <w:r w:rsidR="002E4980" w:rsidRPr="004C1B98">
        <w:rPr>
          <w:highlight w:val="yellow"/>
        </w:rPr>
        <w:t xml:space="preserve">Living within </w:t>
      </w:r>
      <w:r w:rsidR="00770595">
        <w:rPr>
          <w:highlight w:val="yellow"/>
        </w:rPr>
        <w:t>its</w:t>
      </w:r>
      <w:r w:rsidR="002E4980" w:rsidRPr="004C1B98">
        <w:rPr>
          <w:highlight w:val="yellow"/>
        </w:rPr>
        <w:t xml:space="preserve"> means has served the community well for many years.</w:t>
      </w:r>
    </w:p>
    <w:p w:rsidR="00C01377" w:rsidRDefault="002E4980"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Marrickville recognises that whilst prudent financial management goes a long way, it can only go so far if </w:t>
      </w:r>
      <w:r w:rsidR="00CC6006">
        <w:rPr>
          <w:highlight w:val="yellow"/>
        </w:rPr>
        <w:t xml:space="preserve">one of </w:t>
      </w:r>
      <w:r w:rsidR="00770595">
        <w:rPr>
          <w:highlight w:val="yellow"/>
        </w:rPr>
        <w:t>its</w:t>
      </w:r>
      <w:r w:rsidRPr="004C1B98">
        <w:rPr>
          <w:highlight w:val="yellow"/>
        </w:rPr>
        <w:t xml:space="preserve"> goal</w:t>
      </w:r>
      <w:r w:rsidR="00CC6006">
        <w:rPr>
          <w:highlight w:val="yellow"/>
        </w:rPr>
        <w:t>s</w:t>
      </w:r>
      <w:r w:rsidRPr="004C1B98">
        <w:rPr>
          <w:highlight w:val="yellow"/>
        </w:rPr>
        <w:t xml:space="preserve"> is to be financially sustainable longer term. </w:t>
      </w:r>
    </w:p>
    <w:p w:rsidR="00D705A1" w:rsidRDefault="002E4980"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Council recently earned significant praise from its community (via the 2014 Community Satisfaction Survey) in relation to the services it offers and the satisfaction with which they are received. </w:t>
      </w:r>
    </w:p>
    <w:p w:rsidR="00395D52" w:rsidRPr="004C1B98" w:rsidRDefault="002E4980"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95% of all respondents stated they were at least somewhat satisfied with Council’s services. According to </w:t>
      </w:r>
      <w:proofErr w:type="spellStart"/>
      <w:r w:rsidRPr="004C1B98">
        <w:rPr>
          <w:highlight w:val="yellow"/>
        </w:rPr>
        <w:t>Micromex</w:t>
      </w:r>
      <w:proofErr w:type="spellEnd"/>
      <w:r w:rsidRPr="004C1B98">
        <w:rPr>
          <w:highlight w:val="yellow"/>
        </w:rPr>
        <w:t xml:space="preserve"> (an independent research and survey firm who conducted the survey)</w:t>
      </w:r>
      <w:r w:rsidR="00395D52" w:rsidRPr="004C1B98">
        <w:rPr>
          <w:highlight w:val="yellow"/>
        </w:rPr>
        <w:t>, this result is the highest of any Council</w:t>
      </w:r>
      <w:r w:rsidR="00770595">
        <w:rPr>
          <w:highlight w:val="yellow"/>
        </w:rPr>
        <w:t xml:space="preserve"> on record</w:t>
      </w:r>
      <w:r w:rsidR="00395D52" w:rsidRPr="004C1B98">
        <w:rPr>
          <w:highlight w:val="yellow"/>
        </w:rPr>
        <w:t>.</w:t>
      </w:r>
    </w:p>
    <w:p w:rsidR="00395D52" w:rsidRPr="004C1B98" w:rsidRDefault="00395D52"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In recent years, budgets have become increasingly difficult to balance. The cost of services in some areas far outstrips overall revenue projections. The State Government’s decision to freeze Financial Assistance Grants is but one of the </w:t>
      </w:r>
      <w:r w:rsidRPr="004C1B98">
        <w:rPr>
          <w:highlight w:val="yellow"/>
        </w:rPr>
        <w:lastRenderedPageBreak/>
        <w:t xml:space="preserve">many realities Council faces. Increasingly, there is pressure to reduce services (and levels) or eliminate them altogether. </w:t>
      </w:r>
    </w:p>
    <w:p w:rsidR="00A35E66" w:rsidRPr="004C1B98" w:rsidRDefault="00395D52"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Council’s Long Term Financial Plan clearly outlines </w:t>
      </w:r>
      <w:r w:rsidR="00D705A1">
        <w:rPr>
          <w:highlight w:val="yellow"/>
        </w:rPr>
        <w:t>its</w:t>
      </w:r>
      <w:r w:rsidRPr="004C1B98">
        <w:rPr>
          <w:highlight w:val="yellow"/>
        </w:rPr>
        <w:t xml:space="preserve"> Global Variables and Assumptions. These variables and assumptions are a combination of local </w:t>
      </w:r>
      <w:r w:rsidR="00A35E66" w:rsidRPr="004C1B98">
        <w:rPr>
          <w:highlight w:val="yellow"/>
        </w:rPr>
        <w:t xml:space="preserve">knowledge and </w:t>
      </w:r>
      <w:r w:rsidRPr="004C1B98">
        <w:rPr>
          <w:highlight w:val="yellow"/>
        </w:rPr>
        <w:t xml:space="preserve">understanding, </w:t>
      </w:r>
      <w:r w:rsidR="00A35E66" w:rsidRPr="004C1B98">
        <w:rPr>
          <w:highlight w:val="yellow"/>
        </w:rPr>
        <w:t xml:space="preserve">publicly disclosed facts and forecast data provided by economists such as BIS </w:t>
      </w:r>
      <w:proofErr w:type="spellStart"/>
      <w:r w:rsidR="00A35E66" w:rsidRPr="004C1B98">
        <w:rPr>
          <w:highlight w:val="yellow"/>
        </w:rPr>
        <w:t>Schrapnel</w:t>
      </w:r>
      <w:proofErr w:type="spellEnd"/>
      <w:r w:rsidR="00A35E66" w:rsidRPr="004C1B98">
        <w:rPr>
          <w:highlight w:val="yellow"/>
        </w:rPr>
        <w:t xml:space="preserve">. </w:t>
      </w:r>
    </w:p>
    <w:p w:rsidR="00A35E66" w:rsidRPr="004C1B98" w:rsidRDefault="00A35E66" w:rsidP="00DA06D8">
      <w:pPr>
        <w:pStyle w:val="BodyText"/>
        <w:pBdr>
          <w:top w:val="single" w:sz="4" w:space="1" w:color="auto"/>
          <w:left w:val="single" w:sz="4" w:space="4" w:color="auto"/>
          <w:bottom w:val="single" w:sz="4" w:space="1" w:color="auto"/>
          <w:right w:val="single" w:sz="4" w:space="4" w:color="auto"/>
        </w:pBdr>
        <w:rPr>
          <w:highlight w:val="yellow"/>
        </w:rPr>
      </w:pPr>
      <w:proofErr w:type="spellStart"/>
      <w:r w:rsidRPr="004C1B98">
        <w:rPr>
          <w:highlight w:val="yellow"/>
        </w:rPr>
        <w:t>TCorp’s</w:t>
      </w:r>
      <w:proofErr w:type="spellEnd"/>
      <w:r w:rsidRPr="004C1B98">
        <w:rPr>
          <w:highlight w:val="yellow"/>
        </w:rPr>
        <w:t xml:space="preserve"> financial assessment of Marrickville indicated it had a MODERATE financial sustainability rating and a NEUTRAL financial outlook. A full copy of the report is attached to this application.</w:t>
      </w:r>
    </w:p>
    <w:p w:rsidR="00E14A55" w:rsidRDefault="00A35E66"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Council currently reports an operating deficit before capital contributions and has done so for a number of years now. Whilst most of </w:t>
      </w:r>
      <w:r w:rsidR="00E14A55">
        <w:rPr>
          <w:highlight w:val="yellow"/>
        </w:rPr>
        <w:t>its</w:t>
      </w:r>
      <w:r w:rsidRPr="004C1B98">
        <w:rPr>
          <w:highlight w:val="yellow"/>
        </w:rPr>
        <w:t xml:space="preserve"> financial health indicators are sound </w:t>
      </w:r>
      <w:r w:rsidR="00303E99">
        <w:rPr>
          <w:highlight w:val="yellow"/>
        </w:rPr>
        <w:t xml:space="preserve">and have been trending in a positive manner, </w:t>
      </w:r>
      <w:r w:rsidR="00E14A55">
        <w:rPr>
          <w:highlight w:val="yellow"/>
        </w:rPr>
        <w:t xml:space="preserve">it is acknowledged </w:t>
      </w:r>
      <w:r w:rsidRPr="004C1B98">
        <w:rPr>
          <w:highlight w:val="yellow"/>
        </w:rPr>
        <w:t>there is room for improvement in the area of</w:t>
      </w:r>
      <w:r w:rsidR="00E14A55">
        <w:rPr>
          <w:highlight w:val="yellow"/>
        </w:rPr>
        <w:t xml:space="preserve"> infrastructure asset renewal.</w:t>
      </w:r>
    </w:p>
    <w:p w:rsidR="005D433F" w:rsidRPr="004C1B98" w:rsidRDefault="005D433F"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Council is currently participating in the State Government’s Fit for the Future Program. At present, using the Government’s asset management and financial sustainability indicators</w:t>
      </w:r>
      <w:r w:rsidR="00E14A55">
        <w:rPr>
          <w:highlight w:val="yellow"/>
        </w:rPr>
        <w:t>/</w:t>
      </w:r>
      <w:r w:rsidRPr="004C1B98">
        <w:rPr>
          <w:highlight w:val="yellow"/>
        </w:rPr>
        <w:t xml:space="preserve">benchmarks, we are not sustainable. However, if this SRV Application were to be approved, Marrickville would </w:t>
      </w:r>
      <w:r w:rsidR="00E14A55">
        <w:rPr>
          <w:highlight w:val="yellow"/>
        </w:rPr>
        <w:t>move to a far more sustainable position in a relatively short period of time.</w:t>
      </w:r>
      <w:r w:rsidRPr="004C1B98">
        <w:rPr>
          <w:highlight w:val="yellow"/>
        </w:rPr>
        <w:t xml:space="preserve"> </w:t>
      </w:r>
    </w:p>
    <w:p w:rsidR="005D433F" w:rsidRPr="004C1B98" w:rsidRDefault="00E14A55" w:rsidP="00DA06D8">
      <w:pPr>
        <w:pStyle w:val="BodyText"/>
        <w:pBdr>
          <w:top w:val="single" w:sz="4" w:space="1" w:color="auto"/>
          <w:left w:val="single" w:sz="4" w:space="4" w:color="auto"/>
          <w:bottom w:val="single" w:sz="4" w:space="1" w:color="auto"/>
          <w:right w:val="single" w:sz="4" w:space="4" w:color="auto"/>
        </w:pBdr>
        <w:rPr>
          <w:highlight w:val="yellow"/>
        </w:rPr>
      </w:pPr>
      <w:r>
        <w:rPr>
          <w:highlight w:val="yellow"/>
        </w:rPr>
        <w:t>In fact, the</w:t>
      </w:r>
      <w:r w:rsidR="005D433F" w:rsidRPr="004C1B98">
        <w:rPr>
          <w:highlight w:val="yellow"/>
        </w:rPr>
        <w:t xml:space="preserve"> combination of $1m in expenditure savings per annum (</w:t>
      </w:r>
      <w:r w:rsidR="00303E99">
        <w:rPr>
          <w:highlight w:val="yellow"/>
        </w:rPr>
        <w:t xml:space="preserve">via the </w:t>
      </w:r>
      <w:r w:rsidR="005D433F" w:rsidRPr="004C1B98">
        <w:rPr>
          <w:highlight w:val="yellow"/>
        </w:rPr>
        <w:t>Productivity Improvement Plan) and the additional rate revenue of $1.35m per annum</w:t>
      </w:r>
      <w:r>
        <w:rPr>
          <w:highlight w:val="yellow"/>
        </w:rPr>
        <w:t>, coupled with the investment of $2.35m in infrastructure asset renewal per annum</w:t>
      </w:r>
      <w:r w:rsidR="005D433F" w:rsidRPr="004C1B98">
        <w:rPr>
          <w:highlight w:val="yellow"/>
        </w:rPr>
        <w:t xml:space="preserve"> would be sufficient to make Council financially sustainable using the Fit for Future criteria established by the State Government.</w:t>
      </w:r>
    </w:p>
    <w:p w:rsidR="00F82692" w:rsidRPr="004C1B98" w:rsidRDefault="00F82692" w:rsidP="00F82692">
      <w:pPr>
        <w:pStyle w:val="BodyText"/>
        <w:pBdr>
          <w:top w:val="single" w:sz="4" w:space="1" w:color="auto"/>
          <w:left w:val="single" w:sz="4" w:space="4" w:color="auto"/>
          <w:bottom w:val="single" w:sz="4" w:space="1" w:color="auto"/>
          <w:right w:val="single" w:sz="4" w:space="4" w:color="auto"/>
        </w:pBdr>
        <w:rPr>
          <w:b/>
          <w:highlight w:val="yellow"/>
        </w:rPr>
      </w:pPr>
      <w:r w:rsidRPr="004C1B98">
        <w:rPr>
          <w:b/>
          <w:sz w:val="32"/>
          <w:szCs w:val="32"/>
          <w:highlight w:val="yellow"/>
        </w:rPr>
        <w:t>Reference Information</w:t>
      </w:r>
      <w:r w:rsidRPr="004C1B98">
        <w:rPr>
          <w:b/>
          <w:highlight w:val="yellow"/>
        </w:rPr>
        <w:t>:</w:t>
      </w:r>
    </w:p>
    <w:p w:rsidR="00F82692" w:rsidRPr="004C1B98" w:rsidRDefault="00F82692" w:rsidP="00DA06D8">
      <w:pPr>
        <w:pStyle w:val="BodyText"/>
        <w:pBdr>
          <w:top w:val="single" w:sz="4" w:space="1" w:color="auto"/>
          <w:left w:val="single" w:sz="4" w:space="4" w:color="auto"/>
          <w:bottom w:val="single" w:sz="4" w:space="1" w:color="auto"/>
          <w:right w:val="single" w:sz="4" w:space="4" w:color="auto"/>
        </w:pBdr>
        <w:rPr>
          <w:b/>
          <w:highlight w:val="yellow"/>
          <w:u w:val="single"/>
        </w:rPr>
      </w:pPr>
      <w:r w:rsidRPr="004C1B98">
        <w:rPr>
          <w:b/>
          <w:highlight w:val="yellow"/>
          <w:u w:val="single"/>
        </w:rPr>
        <w:t>Long Term Financial Plan (</w:t>
      </w:r>
      <w:r w:rsidR="00404786">
        <w:rPr>
          <w:b/>
          <w:highlight w:val="yellow"/>
          <w:u w:val="single"/>
        </w:rPr>
        <w:t>Appendix</w:t>
      </w:r>
      <w:r w:rsidRPr="004C1B98">
        <w:rPr>
          <w:b/>
          <w:highlight w:val="yellow"/>
          <w:u w:val="single"/>
        </w:rPr>
        <w:t xml:space="preserve"> </w:t>
      </w:r>
      <w:r w:rsidR="009328A1">
        <w:rPr>
          <w:b/>
          <w:highlight w:val="yellow"/>
          <w:u w:val="single"/>
        </w:rPr>
        <w:t>0</w:t>
      </w:r>
      <w:r w:rsidR="00AE1846">
        <w:rPr>
          <w:b/>
          <w:highlight w:val="yellow"/>
          <w:u w:val="single"/>
        </w:rPr>
        <w:t>3</w:t>
      </w:r>
      <w:r w:rsidRPr="004C1B98">
        <w:rPr>
          <w:b/>
          <w:highlight w:val="yellow"/>
          <w:u w:val="single"/>
        </w:rPr>
        <w:t>)</w:t>
      </w:r>
    </w:p>
    <w:p w:rsidR="00F82692" w:rsidRPr="004C1B98" w:rsidRDefault="00F82692"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Global Variables &amp; Assumptions (pages 9-20)</w:t>
      </w:r>
    </w:p>
    <w:p w:rsidR="00F82692" w:rsidRPr="004C1B98" w:rsidRDefault="00F82692"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Scenario 1 – Infrastructure Renewal &amp; Priority New Capital Projects (pages 21-27)</w:t>
      </w:r>
    </w:p>
    <w:p w:rsidR="00F82692" w:rsidRPr="004C1B98" w:rsidRDefault="00F82692"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Scenario 2 – Infrastructure Renewal Only (pages 33-36)</w:t>
      </w:r>
    </w:p>
    <w:p w:rsidR="00F82692" w:rsidRPr="004C1B98" w:rsidRDefault="00F82692"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Scenario 3 – Business as Usual (pages 42-43)</w:t>
      </w:r>
    </w:p>
    <w:p w:rsidR="003C60D1" w:rsidRDefault="00F82692" w:rsidP="00DA06D8">
      <w:pPr>
        <w:pStyle w:val="BodyText"/>
        <w:pBdr>
          <w:top w:val="single" w:sz="4" w:space="1" w:color="auto"/>
          <w:left w:val="single" w:sz="4" w:space="4" w:color="auto"/>
          <w:bottom w:val="single" w:sz="4" w:space="1" w:color="auto"/>
          <w:right w:val="single" w:sz="4" w:space="4" w:color="auto"/>
        </w:pBdr>
        <w:rPr>
          <w:b/>
          <w:u w:val="single"/>
        </w:rPr>
      </w:pPr>
      <w:proofErr w:type="spellStart"/>
      <w:r w:rsidRPr="004C1B98">
        <w:rPr>
          <w:b/>
          <w:highlight w:val="yellow"/>
          <w:u w:val="single"/>
        </w:rPr>
        <w:t>TCorp</w:t>
      </w:r>
      <w:proofErr w:type="spellEnd"/>
      <w:r w:rsidRPr="004C1B98">
        <w:rPr>
          <w:b/>
          <w:highlight w:val="yellow"/>
          <w:u w:val="single"/>
        </w:rPr>
        <w:t xml:space="preserve"> Financial Assessment of Marrickville Council</w:t>
      </w:r>
      <w:r w:rsidR="005D433F" w:rsidRPr="004C1B98">
        <w:rPr>
          <w:b/>
          <w:highlight w:val="yellow"/>
          <w:u w:val="single"/>
        </w:rPr>
        <w:t xml:space="preserve"> </w:t>
      </w:r>
      <w:r w:rsidRPr="004C1B98">
        <w:rPr>
          <w:b/>
          <w:highlight w:val="yellow"/>
          <w:u w:val="single"/>
        </w:rPr>
        <w:t>(</w:t>
      </w:r>
      <w:r w:rsidR="00404786">
        <w:rPr>
          <w:b/>
          <w:highlight w:val="yellow"/>
          <w:u w:val="single"/>
        </w:rPr>
        <w:t>Appendix</w:t>
      </w:r>
      <w:r w:rsidRPr="004C1B98">
        <w:rPr>
          <w:b/>
          <w:highlight w:val="yellow"/>
          <w:u w:val="single"/>
        </w:rPr>
        <w:t xml:space="preserve"> </w:t>
      </w:r>
      <w:r w:rsidR="009328A1">
        <w:rPr>
          <w:b/>
          <w:highlight w:val="yellow"/>
          <w:u w:val="single"/>
        </w:rPr>
        <w:t>0</w:t>
      </w:r>
      <w:r w:rsidR="00AE1846">
        <w:rPr>
          <w:b/>
          <w:highlight w:val="yellow"/>
          <w:u w:val="single"/>
        </w:rPr>
        <w:t>4</w:t>
      </w:r>
      <w:r w:rsidRPr="004C1B98">
        <w:rPr>
          <w:b/>
          <w:highlight w:val="yellow"/>
          <w:u w:val="single"/>
        </w:rPr>
        <w:t>)</w:t>
      </w:r>
    </w:p>
    <w:p w:rsidR="006219EC" w:rsidRDefault="000E41E8" w:rsidP="00DA06D8">
      <w:pPr>
        <w:pStyle w:val="BodyText"/>
        <w:pBdr>
          <w:top w:val="single" w:sz="4" w:space="1" w:color="auto"/>
          <w:left w:val="single" w:sz="4" w:space="4" w:color="auto"/>
          <w:bottom w:val="single" w:sz="4" w:space="1" w:color="auto"/>
          <w:right w:val="single" w:sz="4" w:space="4" w:color="auto"/>
        </w:pBdr>
      </w:pPr>
      <w:r w:rsidRPr="00901947">
        <w:rPr>
          <w:b/>
          <w:highlight w:val="yellow"/>
          <w:u w:val="single"/>
        </w:rPr>
        <w:t>Community Satisfaction Survey (</w:t>
      </w:r>
      <w:r w:rsidR="00404786">
        <w:rPr>
          <w:b/>
          <w:highlight w:val="yellow"/>
          <w:u w:val="single"/>
        </w:rPr>
        <w:t>Appendix</w:t>
      </w:r>
      <w:r w:rsidRPr="00901947">
        <w:rPr>
          <w:b/>
          <w:highlight w:val="yellow"/>
          <w:u w:val="single"/>
        </w:rPr>
        <w:t xml:space="preserve"> </w:t>
      </w:r>
      <w:r w:rsidR="009328A1">
        <w:rPr>
          <w:b/>
          <w:highlight w:val="yellow"/>
          <w:u w:val="single"/>
        </w:rPr>
        <w:t>0</w:t>
      </w:r>
      <w:r w:rsidR="00AE1846">
        <w:rPr>
          <w:b/>
          <w:highlight w:val="yellow"/>
          <w:u w:val="single"/>
        </w:rPr>
        <w:t>5</w:t>
      </w:r>
      <w:r w:rsidRPr="00901947">
        <w:rPr>
          <w:b/>
          <w:highlight w:val="yellow"/>
          <w:u w:val="single"/>
        </w:rPr>
        <w:t>)</w:t>
      </w:r>
    </w:p>
    <w:p w:rsidR="00576F7F" w:rsidRPr="00A35E66" w:rsidRDefault="00576F7F" w:rsidP="00576F7F">
      <w:pPr>
        <w:pStyle w:val="Heading2"/>
      </w:pPr>
      <w:bookmarkStart w:id="19" w:name="_Toc401138369"/>
      <w:r w:rsidRPr="00A35E66">
        <w:lastRenderedPageBreak/>
        <w:t>Financial indicators</w:t>
      </w:r>
      <w:bookmarkEnd w:id="19"/>
    </w:p>
    <w:p w:rsidR="00D60EA5" w:rsidRPr="00A35E66" w:rsidRDefault="00D60EA5" w:rsidP="00D60EA5">
      <w:pPr>
        <w:pStyle w:val="BodyText"/>
      </w:pPr>
      <w:r w:rsidRPr="00A35E66">
        <w:t xml:space="preserve">How will the special variation affect the council’s key financial indicators </w:t>
      </w:r>
      <w:r w:rsidR="00270840" w:rsidRPr="00A35E66">
        <w:t xml:space="preserve">(General Fund) </w:t>
      </w:r>
      <w:r w:rsidRPr="00A35E66">
        <w:t xml:space="preserve">over the 10-year planning period?  </w:t>
      </w:r>
      <w:r w:rsidR="008B1F5A" w:rsidRPr="00A35E66">
        <w:t>Please p</w:t>
      </w:r>
      <w:r w:rsidR="00576F7F" w:rsidRPr="00A35E66">
        <w:t xml:space="preserve">rovide </w:t>
      </w:r>
      <w:r w:rsidR="003B7983" w:rsidRPr="00A35E66">
        <w:t>an a</w:t>
      </w:r>
      <w:r w:rsidR="00264B88" w:rsidRPr="00A35E66">
        <w:t>nalysis</w:t>
      </w:r>
      <w:r w:rsidR="003B7983" w:rsidRPr="00A35E66">
        <w:t xml:space="preserve"> of council’s performance based</w:t>
      </w:r>
      <w:r w:rsidR="00CD3F10" w:rsidRPr="00A35E66">
        <w:t xml:space="preserve"> </w:t>
      </w:r>
      <w:r w:rsidR="00576F7F" w:rsidRPr="00A35E66">
        <w:t xml:space="preserve">on </w:t>
      </w:r>
      <w:r w:rsidR="00D63152" w:rsidRPr="00A35E66">
        <w:t xml:space="preserve">key indicators (current and forecast) </w:t>
      </w:r>
      <w:r w:rsidR="00576F7F" w:rsidRPr="00A35E66">
        <w:t xml:space="preserve">which </w:t>
      </w:r>
      <w:r w:rsidRPr="00A35E66">
        <w:t>may include:</w:t>
      </w:r>
    </w:p>
    <w:p w:rsidR="00D60EA5" w:rsidRPr="00A35E66" w:rsidRDefault="00D60EA5" w:rsidP="00D60EA5">
      <w:pPr>
        <w:pStyle w:val="ListBullet"/>
      </w:pPr>
      <w:r w:rsidRPr="00A35E66">
        <w:t>Operating balance ratio excluding capital items (</w:t>
      </w:r>
      <w:proofErr w:type="spellStart"/>
      <w:r w:rsidRPr="00A35E66">
        <w:t>ie</w:t>
      </w:r>
      <w:proofErr w:type="spellEnd"/>
      <w:r w:rsidRPr="00A35E66">
        <w:t xml:space="preserve">, net operating result before </w:t>
      </w:r>
      <w:r w:rsidR="00303306" w:rsidRPr="00A35E66">
        <w:t>capital grants and contributions</w:t>
      </w:r>
      <w:r w:rsidRPr="00A35E66">
        <w:t xml:space="preserve"> as percentage of operating revenue before capital grants and contributions)</w:t>
      </w:r>
      <w:r w:rsidR="00B84AA8" w:rsidRPr="00A35E66">
        <w:t>.</w:t>
      </w:r>
    </w:p>
    <w:p w:rsidR="00D60EA5" w:rsidRPr="00A35E66" w:rsidRDefault="00D60EA5" w:rsidP="00D60EA5">
      <w:pPr>
        <w:pStyle w:val="ListBullet"/>
      </w:pPr>
      <w:r w:rsidRPr="00A35E66">
        <w:t>Unrestricted current ratio (the unrestricted current assets divided by unrestricted current liabilities)</w:t>
      </w:r>
      <w:r w:rsidR="00B84AA8" w:rsidRPr="00A35E66">
        <w:t>.</w:t>
      </w:r>
    </w:p>
    <w:p w:rsidR="00D60EA5" w:rsidRPr="00A35E66" w:rsidRDefault="00D60EA5" w:rsidP="00D60EA5">
      <w:pPr>
        <w:pStyle w:val="ListBullet"/>
      </w:pPr>
      <w:r w:rsidRPr="00A35E66">
        <w:t>Rates and annual charges ratio (rates and annual charges divided by operating revenue)</w:t>
      </w:r>
      <w:r w:rsidR="00B84AA8" w:rsidRPr="00A35E66">
        <w:t>.</w:t>
      </w:r>
    </w:p>
    <w:p w:rsidR="00D60EA5" w:rsidRPr="00A35E66" w:rsidRDefault="00D60EA5" w:rsidP="00D60EA5">
      <w:pPr>
        <w:pStyle w:val="ListBullet"/>
      </w:pPr>
      <w:r w:rsidRPr="00A35E66">
        <w:t>Debt service ratio (</w:t>
      </w:r>
      <w:r w:rsidR="00A53DDC" w:rsidRPr="00A35E66">
        <w:t>principal and interest</w:t>
      </w:r>
      <w:r w:rsidRPr="00A35E66">
        <w:t xml:space="preserve"> debt service cost</w:t>
      </w:r>
      <w:r w:rsidR="00A53DDC" w:rsidRPr="00A35E66">
        <w:t>s</w:t>
      </w:r>
      <w:r w:rsidRPr="00A35E66">
        <w:t xml:space="preserve"> divided by </w:t>
      </w:r>
      <w:r w:rsidR="00764D89" w:rsidRPr="00A35E66">
        <w:t>operating revenue excluding capital grants and contributions</w:t>
      </w:r>
      <w:r w:rsidRPr="00A35E66">
        <w:t>)</w:t>
      </w:r>
      <w:r w:rsidR="00B84AA8" w:rsidRPr="00A35E66">
        <w:t>.</w:t>
      </w:r>
    </w:p>
    <w:p w:rsidR="00D60EA5" w:rsidRPr="00A35E66" w:rsidRDefault="00D60EA5" w:rsidP="00D60EA5">
      <w:pPr>
        <w:pStyle w:val="ListBullet"/>
      </w:pPr>
      <w:r w:rsidRPr="00A35E66">
        <w:t xml:space="preserve">Broad liabilities ratio (total debt plus cost to clear infrastructure backlogs </w:t>
      </w:r>
      <w:r w:rsidR="00A53DDC" w:rsidRPr="00A35E66">
        <w:t xml:space="preserve">as per </w:t>
      </w:r>
      <w:r w:rsidRPr="00A35E66">
        <w:t>Special Schedule 7 divided by operating revenue)</w:t>
      </w:r>
      <w:r w:rsidR="00B84AA8" w:rsidRPr="00A35E66">
        <w:t>.</w:t>
      </w:r>
    </w:p>
    <w:p w:rsidR="00576F7F" w:rsidRPr="00A35E66" w:rsidRDefault="00D60EA5" w:rsidP="00576F7F">
      <w:pPr>
        <w:pStyle w:val="ListBullet"/>
      </w:pPr>
      <w:r w:rsidRPr="00A35E66">
        <w:t>Asset renewal ratio (asset renewals expenditure divided by depreciation, amortisation and impairment expenses).</w:t>
      </w:r>
    </w:p>
    <w:p w:rsidR="006219EC" w:rsidRPr="004C1B98" w:rsidRDefault="006219EC"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As previously </w:t>
      </w:r>
      <w:proofErr w:type="gramStart"/>
      <w:r w:rsidRPr="004C1B98">
        <w:rPr>
          <w:highlight w:val="yellow"/>
        </w:rPr>
        <w:t>mentioned,</w:t>
      </w:r>
      <w:proofErr w:type="gramEnd"/>
      <w:r w:rsidRPr="004C1B98">
        <w:rPr>
          <w:highlight w:val="yellow"/>
        </w:rPr>
        <w:t xml:space="preserve"> Council has assessed the effects of the proposed SRV against the financial sustainability indicators and benchmarks the State Government set in its Fit for the Future Program. </w:t>
      </w:r>
    </w:p>
    <w:p w:rsidR="006219EC" w:rsidRPr="004C1B98" w:rsidRDefault="009347FB"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The combination of $1m in expenditure savings per annum (Productivity Improvement Plan) and the additional rate revenue of $1.35m per annum would be sufficient to make Council financially sustainable using the Fit for Future criteria established by the State Government.</w:t>
      </w:r>
    </w:p>
    <w:p w:rsidR="009347FB" w:rsidRPr="004C1B98" w:rsidRDefault="009347FB"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In terms of the financial indicators outlined above, please find below an assessment of each indicator BEFORE and AFTER the proposed SRV.</w:t>
      </w:r>
    </w:p>
    <w:p w:rsidR="009347FB" w:rsidRPr="004C1B98" w:rsidRDefault="009347FB" w:rsidP="00DA06D8">
      <w:pPr>
        <w:pStyle w:val="BodyText"/>
        <w:pBdr>
          <w:top w:val="single" w:sz="4" w:space="1" w:color="auto"/>
          <w:left w:val="single" w:sz="4" w:space="4" w:color="auto"/>
          <w:bottom w:val="single" w:sz="4" w:space="1" w:color="auto"/>
          <w:right w:val="single" w:sz="4" w:space="4" w:color="auto"/>
        </w:pBdr>
        <w:rPr>
          <w:b/>
          <w:highlight w:val="yellow"/>
        </w:rPr>
      </w:pPr>
      <w:r w:rsidRPr="004C1B98">
        <w:rPr>
          <w:b/>
          <w:highlight w:val="yellow"/>
        </w:rPr>
        <w:t>1. Operating Balance Ratio (excluding Capital Items)</w:t>
      </w:r>
    </w:p>
    <w:tbl>
      <w:tblPr>
        <w:tblStyle w:val="TableGrid"/>
        <w:tblW w:w="0" w:type="auto"/>
        <w:tblLook w:val="04A0"/>
      </w:tblPr>
      <w:tblGrid>
        <w:gridCol w:w="2718"/>
        <w:gridCol w:w="2718"/>
        <w:gridCol w:w="2718"/>
      </w:tblGrid>
      <w:tr w:rsidR="00FC7581" w:rsidTr="00FC7581">
        <w:tc>
          <w:tcPr>
            <w:tcW w:w="2718" w:type="dxa"/>
          </w:tcPr>
          <w:p w:rsidR="00FC7581" w:rsidRDefault="00FC7581" w:rsidP="00DA06D8">
            <w:pPr>
              <w:pStyle w:val="BodyText"/>
              <w:rPr>
                <w:highlight w:val="yellow"/>
              </w:rPr>
            </w:pPr>
          </w:p>
        </w:tc>
        <w:tc>
          <w:tcPr>
            <w:tcW w:w="2718" w:type="dxa"/>
          </w:tcPr>
          <w:p w:rsidR="00FC7581" w:rsidRDefault="00FC7581" w:rsidP="00FC7581">
            <w:pPr>
              <w:pStyle w:val="BodyText"/>
              <w:jc w:val="center"/>
              <w:rPr>
                <w:highlight w:val="yellow"/>
              </w:rPr>
            </w:pPr>
            <w:r>
              <w:rPr>
                <w:highlight w:val="yellow"/>
              </w:rPr>
              <w:t>SRV</w:t>
            </w:r>
          </w:p>
        </w:tc>
        <w:tc>
          <w:tcPr>
            <w:tcW w:w="2718" w:type="dxa"/>
          </w:tcPr>
          <w:p w:rsidR="00FC7581" w:rsidRDefault="00FC7581" w:rsidP="00FC7581">
            <w:pPr>
              <w:pStyle w:val="BodyText"/>
              <w:jc w:val="center"/>
              <w:rPr>
                <w:highlight w:val="yellow"/>
              </w:rPr>
            </w:pPr>
            <w:r>
              <w:rPr>
                <w:highlight w:val="yellow"/>
              </w:rPr>
              <w:t>NO SRV</w:t>
            </w:r>
          </w:p>
        </w:tc>
      </w:tr>
      <w:tr w:rsidR="00FC7581" w:rsidTr="00FC7581">
        <w:tc>
          <w:tcPr>
            <w:tcW w:w="2718" w:type="dxa"/>
          </w:tcPr>
          <w:p w:rsidR="00FC7581" w:rsidRDefault="00FC7581" w:rsidP="00DA06D8">
            <w:pPr>
              <w:pStyle w:val="BodyText"/>
              <w:rPr>
                <w:highlight w:val="yellow"/>
              </w:rPr>
            </w:pPr>
            <w:r>
              <w:rPr>
                <w:highlight w:val="yellow"/>
              </w:rPr>
              <w:t>2015/16</w:t>
            </w:r>
          </w:p>
        </w:tc>
        <w:tc>
          <w:tcPr>
            <w:tcW w:w="2718" w:type="dxa"/>
          </w:tcPr>
          <w:p w:rsidR="00FC7581" w:rsidRDefault="00FC7581" w:rsidP="00FC7581">
            <w:pPr>
              <w:pStyle w:val="BodyText"/>
              <w:jc w:val="center"/>
              <w:rPr>
                <w:highlight w:val="yellow"/>
              </w:rPr>
            </w:pPr>
            <w:r>
              <w:rPr>
                <w:highlight w:val="yellow"/>
              </w:rPr>
              <w:t>(3.28%) Deficit</w:t>
            </w:r>
          </w:p>
        </w:tc>
        <w:tc>
          <w:tcPr>
            <w:tcW w:w="2718" w:type="dxa"/>
          </w:tcPr>
          <w:p w:rsidR="00FC7581" w:rsidRDefault="00FC7581" w:rsidP="00FC7581">
            <w:pPr>
              <w:pStyle w:val="BodyText"/>
              <w:jc w:val="center"/>
              <w:rPr>
                <w:highlight w:val="yellow"/>
              </w:rPr>
            </w:pPr>
            <w:r>
              <w:rPr>
                <w:highlight w:val="yellow"/>
              </w:rPr>
              <w:t>(3.28%) Deficit</w:t>
            </w:r>
          </w:p>
        </w:tc>
      </w:tr>
      <w:tr w:rsidR="00FC7581" w:rsidTr="00FC7581">
        <w:tc>
          <w:tcPr>
            <w:tcW w:w="2718" w:type="dxa"/>
          </w:tcPr>
          <w:p w:rsidR="00FC7581" w:rsidRDefault="00FC7581" w:rsidP="00DA06D8">
            <w:pPr>
              <w:pStyle w:val="BodyText"/>
              <w:rPr>
                <w:highlight w:val="yellow"/>
              </w:rPr>
            </w:pPr>
            <w:r>
              <w:rPr>
                <w:highlight w:val="yellow"/>
              </w:rPr>
              <w:t>2020/21</w:t>
            </w:r>
          </w:p>
        </w:tc>
        <w:tc>
          <w:tcPr>
            <w:tcW w:w="2718" w:type="dxa"/>
          </w:tcPr>
          <w:p w:rsidR="00FC7581" w:rsidRDefault="00FC7581" w:rsidP="00FC7581">
            <w:pPr>
              <w:pStyle w:val="BodyText"/>
              <w:jc w:val="center"/>
              <w:rPr>
                <w:highlight w:val="yellow"/>
              </w:rPr>
            </w:pPr>
            <w:r>
              <w:rPr>
                <w:highlight w:val="yellow"/>
              </w:rPr>
              <w:t>2.22% Surplus</w:t>
            </w:r>
          </w:p>
        </w:tc>
        <w:tc>
          <w:tcPr>
            <w:tcW w:w="2718" w:type="dxa"/>
          </w:tcPr>
          <w:p w:rsidR="00FC7581" w:rsidRDefault="00FC7581" w:rsidP="00FC7581">
            <w:pPr>
              <w:pStyle w:val="BodyText"/>
              <w:jc w:val="center"/>
              <w:rPr>
                <w:highlight w:val="yellow"/>
              </w:rPr>
            </w:pPr>
            <w:r>
              <w:rPr>
                <w:highlight w:val="yellow"/>
              </w:rPr>
              <w:t>(0.26%) Deficit</w:t>
            </w:r>
          </w:p>
        </w:tc>
      </w:tr>
      <w:tr w:rsidR="00FC7581" w:rsidTr="00FC7581">
        <w:tc>
          <w:tcPr>
            <w:tcW w:w="2718" w:type="dxa"/>
          </w:tcPr>
          <w:p w:rsidR="00FC7581" w:rsidRDefault="00FC7581" w:rsidP="00DA06D8">
            <w:pPr>
              <w:pStyle w:val="BodyText"/>
              <w:rPr>
                <w:highlight w:val="yellow"/>
              </w:rPr>
            </w:pPr>
            <w:r>
              <w:rPr>
                <w:highlight w:val="yellow"/>
              </w:rPr>
              <w:t>2024/25</w:t>
            </w:r>
          </w:p>
        </w:tc>
        <w:tc>
          <w:tcPr>
            <w:tcW w:w="2718" w:type="dxa"/>
          </w:tcPr>
          <w:p w:rsidR="00FC7581" w:rsidRDefault="00FC7581" w:rsidP="00FC7581">
            <w:pPr>
              <w:pStyle w:val="BodyText"/>
              <w:jc w:val="center"/>
              <w:rPr>
                <w:highlight w:val="yellow"/>
              </w:rPr>
            </w:pPr>
            <w:r>
              <w:rPr>
                <w:highlight w:val="yellow"/>
              </w:rPr>
              <w:t>3.77% Surplus</w:t>
            </w:r>
          </w:p>
        </w:tc>
        <w:tc>
          <w:tcPr>
            <w:tcW w:w="2718" w:type="dxa"/>
          </w:tcPr>
          <w:p w:rsidR="00FC7581" w:rsidRDefault="00FC7581" w:rsidP="00FC7581">
            <w:pPr>
              <w:pStyle w:val="BodyText"/>
              <w:jc w:val="center"/>
              <w:rPr>
                <w:highlight w:val="yellow"/>
              </w:rPr>
            </w:pPr>
            <w:r>
              <w:rPr>
                <w:highlight w:val="yellow"/>
              </w:rPr>
              <w:t>1.25% Surplus</w:t>
            </w:r>
          </w:p>
        </w:tc>
      </w:tr>
    </w:tbl>
    <w:p w:rsidR="00FC7581" w:rsidRDefault="00FC7581" w:rsidP="00DA06D8">
      <w:pPr>
        <w:pStyle w:val="BodyText"/>
        <w:pBdr>
          <w:top w:val="single" w:sz="4" w:space="1" w:color="auto"/>
          <w:left w:val="single" w:sz="4" w:space="4" w:color="auto"/>
          <w:bottom w:val="single" w:sz="4" w:space="1" w:color="auto"/>
          <w:right w:val="single" w:sz="4" w:space="4" w:color="auto"/>
        </w:pBdr>
        <w:rPr>
          <w:b/>
          <w:highlight w:val="yellow"/>
        </w:rPr>
      </w:pPr>
    </w:p>
    <w:p w:rsidR="00FC7581" w:rsidRDefault="00FC7581" w:rsidP="00DA06D8">
      <w:pPr>
        <w:pStyle w:val="BodyText"/>
        <w:pBdr>
          <w:top w:val="single" w:sz="4" w:space="1" w:color="auto"/>
          <w:left w:val="single" w:sz="4" w:space="4" w:color="auto"/>
          <w:bottom w:val="single" w:sz="4" w:space="1" w:color="auto"/>
          <w:right w:val="single" w:sz="4" w:space="4" w:color="auto"/>
        </w:pBdr>
        <w:rPr>
          <w:b/>
          <w:highlight w:val="yellow"/>
        </w:rPr>
      </w:pPr>
    </w:p>
    <w:p w:rsidR="009347FB" w:rsidRPr="004C1B98" w:rsidRDefault="009347FB" w:rsidP="00DA06D8">
      <w:pPr>
        <w:pStyle w:val="BodyText"/>
        <w:pBdr>
          <w:top w:val="single" w:sz="4" w:space="1" w:color="auto"/>
          <w:left w:val="single" w:sz="4" w:space="4" w:color="auto"/>
          <w:bottom w:val="single" w:sz="4" w:space="1" w:color="auto"/>
          <w:right w:val="single" w:sz="4" w:space="4" w:color="auto"/>
        </w:pBdr>
        <w:rPr>
          <w:b/>
          <w:highlight w:val="yellow"/>
        </w:rPr>
      </w:pPr>
      <w:r w:rsidRPr="004C1B98">
        <w:rPr>
          <w:b/>
          <w:highlight w:val="yellow"/>
        </w:rPr>
        <w:lastRenderedPageBreak/>
        <w:t>2. Unrestricted Current Ratio</w:t>
      </w:r>
    </w:p>
    <w:tbl>
      <w:tblPr>
        <w:tblStyle w:val="TableGrid"/>
        <w:tblW w:w="0" w:type="auto"/>
        <w:tblLook w:val="04A0"/>
      </w:tblPr>
      <w:tblGrid>
        <w:gridCol w:w="2718"/>
        <w:gridCol w:w="2718"/>
        <w:gridCol w:w="2718"/>
      </w:tblGrid>
      <w:tr w:rsidR="00FC7581" w:rsidTr="00FC7581">
        <w:tc>
          <w:tcPr>
            <w:tcW w:w="2718" w:type="dxa"/>
          </w:tcPr>
          <w:p w:rsidR="00FC7581" w:rsidRDefault="00FC7581" w:rsidP="00F23466">
            <w:pPr>
              <w:pStyle w:val="BodyText"/>
              <w:rPr>
                <w:highlight w:val="yellow"/>
              </w:rPr>
            </w:pPr>
          </w:p>
        </w:tc>
        <w:tc>
          <w:tcPr>
            <w:tcW w:w="2718" w:type="dxa"/>
          </w:tcPr>
          <w:p w:rsidR="00FC7581" w:rsidRDefault="00FC7581" w:rsidP="00F23466">
            <w:pPr>
              <w:pStyle w:val="BodyText"/>
              <w:jc w:val="center"/>
              <w:rPr>
                <w:highlight w:val="yellow"/>
              </w:rPr>
            </w:pPr>
            <w:r>
              <w:rPr>
                <w:highlight w:val="yellow"/>
              </w:rPr>
              <w:t>SRV</w:t>
            </w:r>
          </w:p>
        </w:tc>
        <w:tc>
          <w:tcPr>
            <w:tcW w:w="2718" w:type="dxa"/>
          </w:tcPr>
          <w:p w:rsidR="00FC7581" w:rsidRDefault="00FC7581" w:rsidP="00F23466">
            <w:pPr>
              <w:pStyle w:val="BodyText"/>
              <w:jc w:val="center"/>
              <w:rPr>
                <w:highlight w:val="yellow"/>
              </w:rPr>
            </w:pPr>
            <w:r>
              <w:rPr>
                <w:highlight w:val="yellow"/>
              </w:rPr>
              <w:t>NO SRV</w:t>
            </w:r>
          </w:p>
        </w:tc>
      </w:tr>
      <w:tr w:rsidR="00FC7581" w:rsidTr="00FC7581">
        <w:tc>
          <w:tcPr>
            <w:tcW w:w="2718" w:type="dxa"/>
          </w:tcPr>
          <w:p w:rsidR="00FC7581" w:rsidRDefault="00FC7581" w:rsidP="00F23466">
            <w:pPr>
              <w:pStyle w:val="BodyText"/>
              <w:rPr>
                <w:highlight w:val="yellow"/>
              </w:rPr>
            </w:pPr>
            <w:r>
              <w:rPr>
                <w:highlight w:val="yellow"/>
              </w:rPr>
              <w:t>2015/16</w:t>
            </w:r>
          </w:p>
        </w:tc>
        <w:tc>
          <w:tcPr>
            <w:tcW w:w="2718" w:type="dxa"/>
          </w:tcPr>
          <w:p w:rsidR="00FC7581" w:rsidRDefault="00FC7581" w:rsidP="00FC7581">
            <w:pPr>
              <w:pStyle w:val="BodyText"/>
              <w:jc w:val="center"/>
              <w:rPr>
                <w:highlight w:val="yellow"/>
              </w:rPr>
            </w:pPr>
            <w:r>
              <w:rPr>
                <w:highlight w:val="yellow"/>
              </w:rPr>
              <w:t>1.30</w:t>
            </w:r>
          </w:p>
        </w:tc>
        <w:tc>
          <w:tcPr>
            <w:tcW w:w="2718" w:type="dxa"/>
          </w:tcPr>
          <w:p w:rsidR="00FC7581" w:rsidRDefault="00FC7581" w:rsidP="00FC7581">
            <w:pPr>
              <w:pStyle w:val="BodyText"/>
              <w:jc w:val="center"/>
              <w:rPr>
                <w:highlight w:val="yellow"/>
              </w:rPr>
            </w:pPr>
            <w:r>
              <w:rPr>
                <w:highlight w:val="yellow"/>
              </w:rPr>
              <w:t>1.42</w:t>
            </w:r>
          </w:p>
        </w:tc>
      </w:tr>
      <w:tr w:rsidR="00FC7581" w:rsidTr="00FC7581">
        <w:tc>
          <w:tcPr>
            <w:tcW w:w="2718" w:type="dxa"/>
          </w:tcPr>
          <w:p w:rsidR="00FC7581" w:rsidRDefault="00FC7581" w:rsidP="00F23466">
            <w:pPr>
              <w:pStyle w:val="BodyText"/>
              <w:rPr>
                <w:highlight w:val="yellow"/>
              </w:rPr>
            </w:pPr>
            <w:r>
              <w:rPr>
                <w:highlight w:val="yellow"/>
              </w:rPr>
              <w:t>2020/21</w:t>
            </w:r>
          </w:p>
        </w:tc>
        <w:tc>
          <w:tcPr>
            <w:tcW w:w="2718" w:type="dxa"/>
          </w:tcPr>
          <w:p w:rsidR="00FC7581" w:rsidRDefault="00FC7581" w:rsidP="00FC7581">
            <w:pPr>
              <w:pStyle w:val="BodyText"/>
              <w:jc w:val="center"/>
              <w:rPr>
                <w:highlight w:val="yellow"/>
              </w:rPr>
            </w:pPr>
            <w:r>
              <w:rPr>
                <w:highlight w:val="yellow"/>
              </w:rPr>
              <w:t>1.16</w:t>
            </w:r>
          </w:p>
        </w:tc>
        <w:tc>
          <w:tcPr>
            <w:tcW w:w="2718" w:type="dxa"/>
          </w:tcPr>
          <w:p w:rsidR="00FC7581" w:rsidRDefault="00FC7581" w:rsidP="00FC7581">
            <w:pPr>
              <w:pStyle w:val="BodyText"/>
              <w:jc w:val="center"/>
              <w:rPr>
                <w:highlight w:val="yellow"/>
              </w:rPr>
            </w:pPr>
            <w:r>
              <w:rPr>
                <w:highlight w:val="yellow"/>
              </w:rPr>
              <w:t>1.19</w:t>
            </w:r>
          </w:p>
        </w:tc>
      </w:tr>
      <w:tr w:rsidR="00FC7581" w:rsidTr="00FC7581">
        <w:tc>
          <w:tcPr>
            <w:tcW w:w="2718" w:type="dxa"/>
          </w:tcPr>
          <w:p w:rsidR="00FC7581" w:rsidRDefault="00FC7581" w:rsidP="00F23466">
            <w:pPr>
              <w:pStyle w:val="BodyText"/>
              <w:rPr>
                <w:highlight w:val="yellow"/>
              </w:rPr>
            </w:pPr>
            <w:r>
              <w:rPr>
                <w:highlight w:val="yellow"/>
              </w:rPr>
              <w:t>2024/25</w:t>
            </w:r>
          </w:p>
        </w:tc>
        <w:tc>
          <w:tcPr>
            <w:tcW w:w="2718" w:type="dxa"/>
          </w:tcPr>
          <w:p w:rsidR="00FC7581" w:rsidRDefault="00FC7581" w:rsidP="00FC7581">
            <w:pPr>
              <w:pStyle w:val="BodyText"/>
              <w:jc w:val="center"/>
              <w:rPr>
                <w:highlight w:val="yellow"/>
              </w:rPr>
            </w:pPr>
            <w:r>
              <w:rPr>
                <w:highlight w:val="yellow"/>
              </w:rPr>
              <w:t>1.14</w:t>
            </w:r>
          </w:p>
        </w:tc>
        <w:tc>
          <w:tcPr>
            <w:tcW w:w="2718" w:type="dxa"/>
          </w:tcPr>
          <w:p w:rsidR="00FC7581" w:rsidRDefault="00FC7581" w:rsidP="00FC7581">
            <w:pPr>
              <w:pStyle w:val="BodyText"/>
              <w:jc w:val="center"/>
              <w:rPr>
                <w:highlight w:val="yellow"/>
              </w:rPr>
            </w:pPr>
            <w:r>
              <w:rPr>
                <w:highlight w:val="yellow"/>
              </w:rPr>
              <w:t>1.11</w:t>
            </w:r>
          </w:p>
        </w:tc>
      </w:tr>
    </w:tbl>
    <w:p w:rsidR="009347FB" w:rsidRPr="004C1B98" w:rsidRDefault="009347FB" w:rsidP="00DA06D8">
      <w:pPr>
        <w:pStyle w:val="BodyText"/>
        <w:pBdr>
          <w:top w:val="single" w:sz="4" w:space="1" w:color="auto"/>
          <w:left w:val="single" w:sz="4" w:space="4" w:color="auto"/>
          <w:bottom w:val="single" w:sz="4" w:space="1" w:color="auto"/>
          <w:right w:val="single" w:sz="4" w:space="4" w:color="auto"/>
        </w:pBdr>
        <w:rPr>
          <w:b/>
          <w:highlight w:val="yellow"/>
        </w:rPr>
      </w:pPr>
      <w:r w:rsidRPr="004C1B98">
        <w:rPr>
          <w:b/>
          <w:highlight w:val="yellow"/>
        </w:rPr>
        <w:t>3. Rates and Annual Charges Ratio</w:t>
      </w:r>
    </w:p>
    <w:tbl>
      <w:tblPr>
        <w:tblStyle w:val="TableGrid"/>
        <w:tblW w:w="0" w:type="auto"/>
        <w:tblLook w:val="04A0"/>
      </w:tblPr>
      <w:tblGrid>
        <w:gridCol w:w="2718"/>
        <w:gridCol w:w="2718"/>
        <w:gridCol w:w="2718"/>
      </w:tblGrid>
      <w:tr w:rsidR="00FC7581" w:rsidTr="00FC7581">
        <w:tc>
          <w:tcPr>
            <w:tcW w:w="2718" w:type="dxa"/>
          </w:tcPr>
          <w:p w:rsidR="00FC7581" w:rsidRDefault="00FC7581" w:rsidP="00F23466">
            <w:pPr>
              <w:pStyle w:val="BodyText"/>
              <w:rPr>
                <w:highlight w:val="yellow"/>
              </w:rPr>
            </w:pPr>
          </w:p>
        </w:tc>
        <w:tc>
          <w:tcPr>
            <w:tcW w:w="2718" w:type="dxa"/>
          </w:tcPr>
          <w:p w:rsidR="00FC7581" w:rsidRDefault="00FC7581" w:rsidP="00F23466">
            <w:pPr>
              <w:pStyle w:val="BodyText"/>
              <w:jc w:val="center"/>
              <w:rPr>
                <w:highlight w:val="yellow"/>
              </w:rPr>
            </w:pPr>
            <w:r>
              <w:rPr>
                <w:highlight w:val="yellow"/>
              </w:rPr>
              <w:t>SRV</w:t>
            </w:r>
          </w:p>
        </w:tc>
        <w:tc>
          <w:tcPr>
            <w:tcW w:w="2718" w:type="dxa"/>
          </w:tcPr>
          <w:p w:rsidR="00FC7581" w:rsidRDefault="00FC7581" w:rsidP="00F23466">
            <w:pPr>
              <w:pStyle w:val="BodyText"/>
              <w:jc w:val="center"/>
              <w:rPr>
                <w:highlight w:val="yellow"/>
              </w:rPr>
            </w:pPr>
            <w:r>
              <w:rPr>
                <w:highlight w:val="yellow"/>
              </w:rPr>
              <w:t>NO SRV</w:t>
            </w:r>
          </w:p>
        </w:tc>
      </w:tr>
      <w:tr w:rsidR="00FC7581" w:rsidTr="00FC7581">
        <w:tc>
          <w:tcPr>
            <w:tcW w:w="2718" w:type="dxa"/>
          </w:tcPr>
          <w:p w:rsidR="00FC7581" w:rsidRDefault="00FC7581" w:rsidP="00F23466">
            <w:pPr>
              <w:pStyle w:val="BodyText"/>
              <w:rPr>
                <w:highlight w:val="yellow"/>
              </w:rPr>
            </w:pPr>
            <w:r>
              <w:rPr>
                <w:highlight w:val="yellow"/>
              </w:rPr>
              <w:t>2015/16</w:t>
            </w:r>
          </w:p>
        </w:tc>
        <w:tc>
          <w:tcPr>
            <w:tcW w:w="2718" w:type="dxa"/>
          </w:tcPr>
          <w:p w:rsidR="00FC7581" w:rsidRDefault="00FC7581" w:rsidP="00FC7581">
            <w:pPr>
              <w:pStyle w:val="BodyText"/>
              <w:jc w:val="center"/>
              <w:rPr>
                <w:highlight w:val="yellow"/>
              </w:rPr>
            </w:pPr>
            <w:r>
              <w:rPr>
                <w:highlight w:val="yellow"/>
              </w:rPr>
              <w:t>73.31%</w:t>
            </w:r>
          </w:p>
        </w:tc>
        <w:tc>
          <w:tcPr>
            <w:tcW w:w="2718" w:type="dxa"/>
          </w:tcPr>
          <w:p w:rsidR="00FC7581" w:rsidRDefault="00FC7581" w:rsidP="00FC7581">
            <w:pPr>
              <w:pStyle w:val="BodyText"/>
              <w:jc w:val="center"/>
              <w:rPr>
                <w:highlight w:val="yellow"/>
              </w:rPr>
            </w:pPr>
            <w:r>
              <w:rPr>
                <w:highlight w:val="yellow"/>
              </w:rPr>
              <w:t>73.31%</w:t>
            </w:r>
          </w:p>
        </w:tc>
      </w:tr>
      <w:tr w:rsidR="00FC7581" w:rsidTr="00FC7581">
        <w:tc>
          <w:tcPr>
            <w:tcW w:w="2718" w:type="dxa"/>
          </w:tcPr>
          <w:p w:rsidR="00FC7581" w:rsidRDefault="00FC7581" w:rsidP="00F23466">
            <w:pPr>
              <w:pStyle w:val="BodyText"/>
              <w:rPr>
                <w:highlight w:val="yellow"/>
              </w:rPr>
            </w:pPr>
            <w:r>
              <w:rPr>
                <w:highlight w:val="yellow"/>
              </w:rPr>
              <w:t>2020/21</w:t>
            </w:r>
          </w:p>
        </w:tc>
        <w:tc>
          <w:tcPr>
            <w:tcW w:w="2718" w:type="dxa"/>
          </w:tcPr>
          <w:p w:rsidR="00FC7581" w:rsidRDefault="00FC7581" w:rsidP="00FC7581">
            <w:pPr>
              <w:pStyle w:val="BodyText"/>
              <w:jc w:val="center"/>
              <w:rPr>
                <w:highlight w:val="yellow"/>
              </w:rPr>
            </w:pPr>
            <w:r>
              <w:rPr>
                <w:highlight w:val="yellow"/>
              </w:rPr>
              <w:t>74.94%</w:t>
            </w:r>
          </w:p>
        </w:tc>
        <w:tc>
          <w:tcPr>
            <w:tcW w:w="2718" w:type="dxa"/>
          </w:tcPr>
          <w:p w:rsidR="00FC7581" w:rsidRDefault="00FC7581" w:rsidP="00FC7581">
            <w:pPr>
              <w:pStyle w:val="BodyText"/>
              <w:jc w:val="center"/>
              <w:rPr>
                <w:highlight w:val="yellow"/>
              </w:rPr>
            </w:pPr>
            <w:r>
              <w:rPr>
                <w:highlight w:val="yellow"/>
              </w:rPr>
              <w:t>74.50%</w:t>
            </w:r>
          </w:p>
        </w:tc>
      </w:tr>
      <w:tr w:rsidR="00FC7581" w:rsidTr="00FC7581">
        <w:tc>
          <w:tcPr>
            <w:tcW w:w="2718" w:type="dxa"/>
          </w:tcPr>
          <w:p w:rsidR="00FC7581" w:rsidRDefault="00FC7581" w:rsidP="00F23466">
            <w:pPr>
              <w:pStyle w:val="BodyText"/>
              <w:rPr>
                <w:highlight w:val="yellow"/>
              </w:rPr>
            </w:pPr>
            <w:r>
              <w:rPr>
                <w:highlight w:val="yellow"/>
              </w:rPr>
              <w:t>2024/25</w:t>
            </w:r>
          </w:p>
        </w:tc>
        <w:tc>
          <w:tcPr>
            <w:tcW w:w="2718" w:type="dxa"/>
          </w:tcPr>
          <w:p w:rsidR="00FC7581" w:rsidRDefault="00FC7581" w:rsidP="00FC7581">
            <w:pPr>
              <w:pStyle w:val="BodyText"/>
              <w:jc w:val="center"/>
              <w:rPr>
                <w:highlight w:val="yellow"/>
              </w:rPr>
            </w:pPr>
            <w:r>
              <w:rPr>
                <w:highlight w:val="yellow"/>
              </w:rPr>
              <w:t>75.66%</w:t>
            </w:r>
          </w:p>
        </w:tc>
        <w:tc>
          <w:tcPr>
            <w:tcW w:w="2718" w:type="dxa"/>
          </w:tcPr>
          <w:p w:rsidR="00FC7581" w:rsidRDefault="00FC7581" w:rsidP="00FC7581">
            <w:pPr>
              <w:pStyle w:val="BodyText"/>
              <w:jc w:val="center"/>
              <w:rPr>
                <w:highlight w:val="yellow"/>
              </w:rPr>
            </w:pPr>
            <w:r>
              <w:rPr>
                <w:highlight w:val="yellow"/>
              </w:rPr>
              <w:t>74.99%</w:t>
            </w:r>
          </w:p>
        </w:tc>
      </w:tr>
    </w:tbl>
    <w:p w:rsidR="009347FB" w:rsidRPr="004C1B98" w:rsidRDefault="009347FB" w:rsidP="00DA06D8">
      <w:pPr>
        <w:pStyle w:val="BodyText"/>
        <w:pBdr>
          <w:top w:val="single" w:sz="4" w:space="1" w:color="auto"/>
          <w:left w:val="single" w:sz="4" w:space="4" w:color="auto"/>
          <w:bottom w:val="single" w:sz="4" w:space="1" w:color="auto"/>
          <w:right w:val="single" w:sz="4" w:space="4" w:color="auto"/>
        </w:pBdr>
        <w:rPr>
          <w:b/>
          <w:highlight w:val="yellow"/>
        </w:rPr>
      </w:pPr>
      <w:r w:rsidRPr="004C1B98">
        <w:rPr>
          <w:b/>
          <w:highlight w:val="yellow"/>
        </w:rPr>
        <w:t>4. Debt Service Ratio</w:t>
      </w:r>
    </w:p>
    <w:tbl>
      <w:tblPr>
        <w:tblStyle w:val="TableGrid"/>
        <w:tblW w:w="0" w:type="auto"/>
        <w:tblLook w:val="04A0"/>
      </w:tblPr>
      <w:tblGrid>
        <w:gridCol w:w="2718"/>
        <w:gridCol w:w="2718"/>
        <w:gridCol w:w="2718"/>
      </w:tblGrid>
      <w:tr w:rsidR="00FC7581" w:rsidTr="00FC7581">
        <w:tc>
          <w:tcPr>
            <w:tcW w:w="2718" w:type="dxa"/>
          </w:tcPr>
          <w:p w:rsidR="00FC7581" w:rsidRDefault="00FC7581" w:rsidP="00F23466">
            <w:pPr>
              <w:pStyle w:val="BodyText"/>
              <w:rPr>
                <w:highlight w:val="yellow"/>
              </w:rPr>
            </w:pPr>
          </w:p>
        </w:tc>
        <w:tc>
          <w:tcPr>
            <w:tcW w:w="2718" w:type="dxa"/>
          </w:tcPr>
          <w:p w:rsidR="00FC7581" w:rsidRDefault="00FC7581" w:rsidP="00F23466">
            <w:pPr>
              <w:pStyle w:val="BodyText"/>
              <w:jc w:val="center"/>
              <w:rPr>
                <w:highlight w:val="yellow"/>
              </w:rPr>
            </w:pPr>
            <w:r>
              <w:rPr>
                <w:highlight w:val="yellow"/>
              </w:rPr>
              <w:t>SRV</w:t>
            </w:r>
          </w:p>
        </w:tc>
        <w:tc>
          <w:tcPr>
            <w:tcW w:w="2718" w:type="dxa"/>
          </w:tcPr>
          <w:p w:rsidR="00FC7581" w:rsidRDefault="00FC7581" w:rsidP="00F23466">
            <w:pPr>
              <w:pStyle w:val="BodyText"/>
              <w:jc w:val="center"/>
              <w:rPr>
                <w:highlight w:val="yellow"/>
              </w:rPr>
            </w:pPr>
            <w:r>
              <w:rPr>
                <w:highlight w:val="yellow"/>
              </w:rPr>
              <w:t>NO SRV</w:t>
            </w:r>
          </w:p>
        </w:tc>
      </w:tr>
      <w:tr w:rsidR="00FC7581" w:rsidTr="00FC7581">
        <w:tc>
          <w:tcPr>
            <w:tcW w:w="2718" w:type="dxa"/>
          </w:tcPr>
          <w:p w:rsidR="00FC7581" w:rsidRDefault="00FC7581" w:rsidP="00F23466">
            <w:pPr>
              <w:pStyle w:val="BodyText"/>
              <w:rPr>
                <w:highlight w:val="yellow"/>
              </w:rPr>
            </w:pPr>
            <w:r>
              <w:rPr>
                <w:highlight w:val="yellow"/>
              </w:rPr>
              <w:t>2015/16</w:t>
            </w:r>
          </w:p>
        </w:tc>
        <w:tc>
          <w:tcPr>
            <w:tcW w:w="2718" w:type="dxa"/>
          </w:tcPr>
          <w:p w:rsidR="00FC7581" w:rsidRDefault="00196039" w:rsidP="00196039">
            <w:pPr>
              <w:pStyle w:val="BodyText"/>
              <w:jc w:val="center"/>
              <w:rPr>
                <w:highlight w:val="yellow"/>
              </w:rPr>
            </w:pPr>
            <w:r>
              <w:rPr>
                <w:highlight w:val="yellow"/>
              </w:rPr>
              <w:t>4.98</w:t>
            </w:r>
            <w:r w:rsidR="00FC7581">
              <w:rPr>
                <w:highlight w:val="yellow"/>
              </w:rPr>
              <w:t>%</w:t>
            </w:r>
          </w:p>
        </w:tc>
        <w:tc>
          <w:tcPr>
            <w:tcW w:w="2718" w:type="dxa"/>
          </w:tcPr>
          <w:p w:rsidR="00FC7581" w:rsidRDefault="00196039" w:rsidP="00196039">
            <w:pPr>
              <w:pStyle w:val="BodyText"/>
              <w:jc w:val="center"/>
              <w:rPr>
                <w:highlight w:val="yellow"/>
              </w:rPr>
            </w:pPr>
            <w:r>
              <w:rPr>
                <w:highlight w:val="yellow"/>
              </w:rPr>
              <w:t>4.98</w:t>
            </w:r>
            <w:r w:rsidR="00FC7581">
              <w:rPr>
                <w:highlight w:val="yellow"/>
              </w:rPr>
              <w:t>%</w:t>
            </w:r>
          </w:p>
        </w:tc>
      </w:tr>
      <w:tr w:rsidR="00FC7581" w:rsidTr="00FC7581">
        <w:tc>
          <w:tcPr>
            <w:tcW w:w="2718" w:type="dxa"/>
          </w:tcPr>
          <w:p w:rsidR="00FC7581" w:rsidRDefault="00FC7581" w:rsidP="00F23466">
            <w:pPr>
              <w:pStyle w:val="BodyText"/>
              <w:rPr>
                <w:highlight w:val="yellow"/>
              </w:rPr>
            </w:pPr>
            <w:r>
              <w:rPr>
                <w:highlight w:val="yellow"/>
              </w:rPr>
              <w:t>2020/21</w:t>
            </w:r>
          </w:p>
        </w:tc>
        <w:tc>
          <w:tcPr>
            <w:tcW w:w="2718" w:type="dxa"/>
          </w:tcPr>
          <w:p w:rsidR="00FC7581" w:rsidRDefault="00196039" w:rsidP="00196039">
            <w:pPr>
              <w:pStyle w:val="BodyText"/>
              <w:jc w:val="center"/>
              <w:rPr>
                <w:highlight w:val="yellow"/>
              </w:rPr>
            </w:pPr>
            <w:r>
              <w:rPr>
                <w:highlight w:val="yellow"/>
              </w:rPr>
              <w:t>1.01%</w:t>
            </w:r>
          </w:p>
        </w:tc>
        <w:tc>
          <w:tcPr>
            <w:tcW w:w="2718" w:type="dxa"/>
          </w:tcPr>
          <w:p w:rsidR="00FC7581" w:rsidRDefault="00196039" w:rsidP="00196039">
            <w:pPr>
              <w:pStyle w:val="BodyText"/>
              <w:jc w:val="center"/>
              <w:rPr>
                <w:highlight w:val="yellow"/>
              </w:rPr>
            </w:pPr>
            <w:r>
              <w:rPr>
                <w:highlight w:val="yellow"/>
              </w:rPr>
              <w:t>1.01</w:t>
            </w:r>
            <w:r w:rsidR="00FC7581">
              <w:rPr>
                <w:highlight w:val="yellow"/>
              </w:rPr>
              <w:t>%</w:t>
            </w:r>
          </w:p>
        </w:tc>
      </w:tr>
      <w:tr w:rsidR="00FC7581" w:rsidTr="00FC7581">
        <w:tc>
          <w:tcPr>
            <w:tcW w:w="2718" w:type="dxa"/>
          </w:tcPr>
          <w:p w:rsidR="00FC7581" w:rsidRDefault="00FC7581" w:rsidP="00F23466">
            <w:pPr>
              <w:pStyle w:val="BodyText"/>
              <w:rPr>
                <w:highlight w:val="yellow"/>
              </w:rPr>
            </w:pPr>
            <w:r>
              <w:rPr>
                <w:highlight w:val="yellow"/>
              </w:rPr>
              <w:t>2024/25</w:t>
            </w:r>
          </w:p>
        </w:tc>
        <w:tc>
          <w:tcPr>
            <w:tcW w:w="2718" w:type="dxa"/>
          </w:tcPr>
          <w:p w:rsidR="00FC7581" w:rsidRDefault="00196039" w:rsidP="00196039">
            <w:pPr>
              <w:pStyle w:val="BodyText"/>
              <w:jc w:val="center"/>
              <w:rPr>
                <w:highlight w:val="yellow"/>
              </w:rPr>
            </w:pPr>
            <w:r>
              <w:rPr>
                <w:highlight w:val="yellow"/>
              </w:rPr>
              <w:t>0.00</w:t>
            </w:r>
            <w:r w:rsidR="00FC7581">
              <w:rPr>
                <w:highlight w:val="yellow"/>
              </w:rPr>
              <w:t>%</w:t>
            </w:r>
          </w:p>
        </w:tc>
        <w:tc>
          <w:tcPr>
            <w:tcW w:w="2718" w:type="dxa"/>
          </w:tcPr>
          <w:p w:rsidR="00FC7581" w:rsidRDefault="00196039" w:rsidP="00196039">
            <w:pPr>
              <w:pStyle w:val="BodyText"/>
              <w:jc w:val="center"/>
              <w:rPr>
                <w:highlight w:val="yellow"/>
              </w:rPr>
            </w:pPr>
            <w:r>
              <w:rPr>
                <w:highlight w:val="yellow"/>
              </w:rPr>
              <w:t>0.00</w:t>
            </w:r>
            <w:r w:rsidR="00FC7581">
              <w:rPr>
                <w:highlight w:val="yellow"/>
              </w:rPr>
              <w:t>%</w:t>
            </w:r>
          </w:p>
        </w:tc>
      </w:tr>
    </w:tbl>
    <w:p w:rsidR="009347FB" w:rsidRPr="004C1B98" w:rsidRDefault="0048644F" w:rsidP="00DA06D8">
      <w:pPr>
        <w:pStyle w:val="BodyText"/>
        <w:pBdr>
          <w:top w:val="single" w:sz="4" w:space="1" w:color="auto"/>
          <w:left w:val="single" w:sz="4" w:space="4" w:color="auto"/>
          <w:bottom w:val="single" w:sz="4" w:space="1" w:color="auto"/>
          <w:right w:val="single" w:sz="4" w:space="4" w:color="auto"/>
        </w:pBdr>
        <w:rPr>
          <w:b/>
          <w:highlight w:val="yellow"/>
        </w:rPr>
      </w:pPr>
      <w:r>
        <w:rPr>
          <w:b/>
          <w:highlight w:val="yellow"/>
        </w:rPr>
        <w:t>5</w:t>
      </w:r>
      <w:r w:rsidR="009347FB" w:rsidRPr="004C1B98">
        <w:rPr>
          <w:b/>
          <w:highlight w:val="yellow"/>
        </w:rPr>
        <w:t>. Asset Renewal Ratio</w:t>
      </w:r>
    </w:p>
    <w:tbl>
      <w:tblPr>
        <w:tblStyle w:val="TableGrid"/>
        <w:tblW w:w="16308" w:type="dxa"/>
        <w:tblLook w:val="04A0"/>
      </w:tblPr>
      <w:tblGrid>
        <w:gridCol w:w="2718"/>
        <w:gridCol w:w="2718"/>
        <w:gridCol w:w="2718"/>
        <w:gridCol w:w="2718"/>
        <w:gridCol w:w="2718"/>
        <w:gridCol w:w="2718"/>
      </w:tblGrid>
      <w:tr w:rsidR="00196039" w:rsidTr="00196039">
        <w:tc>
          <w:tcPr>
            <w:tcW w:w="2718" w:type="dxa"/>
          </w:tcPr>
          <w:p w:rsidR="00196039" w:rsidRDefault="00196039" w:rsidP="00F23466">
            <w:pPr>
              <w:pStyle w:val="BodyText"/>
              <w:rPr>
                <w:highlight w:val="yellow"/>
              </w:rPr>
            </w:pPr>
          </w:p>
        </w:tc>
        <w:tc>
          <w:tcPr>
            <w:tcW w:w="2718" w:type="dxa"/>
          </w:tcPr>
          <w:p w:rsidR="00196039" w:rsidRDefault="00196039" w:rsidP="00F23466">
            <w:pPr>
              <w:pStyle w:val="BodyText"/>
              <w:jc w:val="center"/>
              <w:rPr>
                <w:highlight w:val="yellow"/>
              </w:rPr>
            </w:pPr>
            <w:r>
              <w:rPr>
                <w:highlight w:val="yellow"/>
              </w:rPr>
              <w:t>SRV</w:t>
            </w:r>
          </w:p>
        </w:tc>
        <w:tc>
          <w:tcPr>
            <w:tcW w:w="2718" w:type="dxa"/>
          </w:tcPr>
          <w:p w:rsidR="00196039" w:rsidRDefault="00196039" w:rsidP="00F23466">
            <w:pPr>
              <w:pStyle w:val="BodyText"/>
              <w:jc w:val="center"/>
              <w:rPr>
                <w:highlight w:val="yellow"/>
              </w:rPr>
            </w:pPr>
            <w:r>
              <w:rPr>
                <w:highlight w:val="yellow"/>
              </w:rPr>
              <w:t>NO SRV</w:t>
            </w:r>
          </w:p>
        </w:tc>
        <w:tc>
          <w:tcPr>
            <w:tcW w:w="2718" w:type="dxa"/>
          </w:tcPr>
          <w:p w:rsidR="00196039" w:rsidRDefault="00196039" w:rsidP="00DA06D8">
            <w:pPr>
              <w:pStyle w:val="BodyText"/>
              <w:rPr>
                <w:highlight w:val="yellow"/>
              </w:rPr>
            </w:pPr>
          </w:p>
        </w:tc>
        <w:tc>
          <w:tcPr>
            <w:tcW w:w="2718" w:type="dxa"/>
          </w:tcPr>
          <w:p w:rsidR="00196039" w:rsidRDefault="00196039" w:rsidP="00DA06D8">
            <w:pPr>
              <w:pStyle w:val="BodyText"/>
              <w:rPr>
                <w:highlight w:val="yellow"/>
              </w:rPr>
            </w:pPr>
          </w:p>
        </w:tc>
        <w:tc>
          <w:tcPr>
            <w:tcW w:w="2718" w:type="dxa"/>
          </w:tcPr>
          <w:p w:rsidR="00196039" w:rsidRDefault="00196039" w:rsidP="00DA06D8">
            <w:pPr>
              <w:pStyle w:val="BodyText"/>
              <w:rPr>
                <w:highlight w:val="yellow"/>
              </w:rPr>
            </w:pPr>
          </w:p>
        </w:tc>
      </w:tr>
      <w:tr w:rsidR="00196039" w:rsidTr="00196039">
        <w:tc>
          <w:tcPr>
            <w:tcW w:w="2718" w:type="dxa"/>
          </w:tcPr>
          <w:p w:rsidR="00196039" w:rsidRDefault="00196039" w:rsidP="00F23466">
            <w:pPr>
              <w:pStyle w:val="BodyText"/>
              <w:rPr>
                <w:highlight w:val="yellow"/>
              </w:rPr>
            </w:pPr>
            <w:r>
              <w:rPr>
                <w:highlight w:val="yellow"/>
              </w:rPr>
              <w:t>2015/16</w:t>
            </w:r>
          </w:p>
        </w:tc>
        <w:tc>
          <w:tcPr>
            <w:tcW w:w="2718" w:type="dxa"/>
          </w:tcPr>
          <w:p w:rsidR="00196039" w:rsidRDefault="00196039" w:rsidP="00196039">
            <w:pPr>
              <w:pStyle w:val="BodyText"/>
              <w:jc w:val="center"/>
              <w:rPr>
                <w:highlight w:val="yellow"/>
              </w:rPr>
            </w:pPr>
            <w:r>
              <w:rPr>
                <w:highlight w:val="yellow"/>
              </w:rPr>
              <w:t>65.01%</w:t>
            </w:r>
          </w:p>
        </w:tc>
        <w:tc>
          <w:tcPr>
            <w:tcW w:w="2718" w:type="dxa"/>
          </w:tcPr>
          <w:p w:rsidR="00196039" w:rsidRDefault="00196039" w:rsidP="00196039">
            <w:pPr>
              <w:pStyle w:val="BodyText"/>
              <w:jc w:val="center"/>
              <w:rPr>
                <w:highlight w:val="yellow"/>
              </w:rPr>
            </w:pPr>
            <w:r>
              <w:rPr>
                <w:highlight w:val="yellow"/>
              </w:rPr>
              <w:t>65.01%</w:t>
            </w:r>
          </w:p>
        </w:tc>
        <w:tc>
          <w:tcPr>
            <w:tcW w:w="2718" w:type="dxa"/>
          </w:tcPr>
          <w:p w:rsidR="00196039" w:rsidRDefault="00196039" w:rsidP="00DA06D8">
            <w:pPr>
              <w:pStyle w:val="BodyText"/>
              <w:rPr>
                <w:highlight w:val="yellow"/>
              </w:rPr>
            </w:pPr>
          </w:p>
        </w:tc>
        <w:tc>
          <w:tcPr>
            <w:tcW w:w="2718" w:type="dxa"/>
          </w:tcPr>
          <w:p w:rsidR="00196039" w:rsidRDefault="00196039" w:rsidP="00DA06D8">
            <w:pPr>
              <w:pStyle w:val="BodyText"/>
              <w:rPr>
                <w:highlight w:val="yellow"/>
              </w:rPr>
            </w:pPr>
          </w:p>
        </w:tc>
        <w:tc>
          <w:tcPr>
            <w:tcW w:w="2718" w:type="dxa"/>
          </w:tcPr>
          <w:p w:rsidR="00196039" w:rsidRDefault="00196039" w:rsidP="00DA06D8">
            <w:pPr>
              <w:pStyle w:val="BodyText"/>
              <w:rPr>
                <w:highlight w:val="yellow"/>
              </w:rPr>
            </w:pPr>
          </w:p>
        </w:tc>
      </w:tr>
      <w:tr w:rsidR="00196039" w:rsidTr="00196039">
        <w:tc>
          <w:tcPr>
            <w:tcW w:w="2718" w:type="dxa"/>
          </w:tcPr>
          <w:p w:rsidR="00196039" w:rsidRDefault="00196039" w:rsidP="00F23466">
            <w:pPr>
              <w:pStyle w:val="BodyText"/>
              <w:rPr>
                <w:highlight w:val="yellow"/>
              </w:rPr>
            </w:pPr>
            <w:r>
              <w:rPr>
                <w:highlight w:val="yellow"/>
              </w:rPr>
              <w:t>2020/21</w:t>
            </w:r>
          </w:p>
        </w:tc>
        <w:tc>
          <w:tcPr>
            <w:tcW w:w="2718" w:type="dxa"/>
          </w:tcPr>
          <w:p w:rsidR="00196039" w:rsidRDefault="0048644F" w:rsidP="0048644F">
            <w:pPr>
              <w:pStyle w:val="BodyText"/>
              <w:jc w:val="center"/>
              <w:rPr>
                <w:highlight w:val="yellow"/>
              </w:rPr>
            </w:pPr>
            <w:r>
              <w:rPr>
                <w:highlight w:val="yellow"/>
              </w:rPr>
              <w:t>97.40</w:t>
            </w:r>
            <w:r w:rsidR="00196039">
              <w:rPr>
                <w:highlight w:val="yellow"/>
              </w:rPr>
              <w:t>%</w:t>
            </w:r>
          </w:p>
        </w:tc>
        <w:tc>
          <w:tcPr>
            <w:tcW w:w="2718" w:type="dxa"/>
          </w:tcPr>
          <w:p w:rsidR="00196039" w:rsidRDefault="00196039" w:rsidP="00196039">
            <w:pPr>
              <w:pStyle w:val="BodyText"/>
              <w:jc w:val="center"/>
              <w:rPr>
                <w:highlight w:val="yellow"/>
              </w:rPr>
            </w:pPr>
            <w:r>
              <w:rPr>
                <w:highlight w:val="yellow"/>
              </w:rPr>
              <w:t>61.05%</w:t>
            </w:r>
          </w:p>
        </w:tc>
        <w:tc>
          <w:tcPr>
            <w:tcW w:w="2718" w:type="dxa"/>
          </w:tcPr>
          <w:p w:rsidR="00196039" w:rsidRDefault="00196039" w:rsidP="00DA06D8">
            <w:pPr>
              <w:pStyle w:val="BodyText"/>
              <w:rPr>
                <w:highlight w:val="yellow"/>
              </w:rPr>
            </w:pPr>
          </w:p>
        </w:tc>
        <w:tc>
          <w:tcPr>
            <w:tcW w:w="2718" w:type="dxa"/>
          </w:tcPr>
          <w:p w:rsidR="00196039" w:rsidRDefault="00196039" w:rsidP="00DA06D8">
            <w:pPr>
              <w:pStyle w:val="BodyText"/>
              <w:rPr>
                <w:highlight w:val="yellow"/>
              </w:rPr>
            </w:pPr>
          </w:p>
        </w:tc>
        <w:tc>
          <w:tcPr>
            <w:tcW w:w="2718" w:type="dxa"/>
          </w:tcPr>
          <w:p w:rsidR="00196039" w:rsidRDefault="00196039" w:rsidP="00DA06D8">
            <w:pPr>
              <w:pStyle w:val="BodyText"/>
              <w:rPr>
                <w:highlight w:val="yellow"/>
              </w:rPr>
            </w:pPr>
          </w:p>
        </w:tc>
      </w:tr>
      <w:tr w:rsidR="00196039" w:rsidTr="00196039">
        <w:tc>
          <w:tcPr>
            <w:tcW w:w="2718" w:type="dxa"/>
          </w:tcPr>
          <w:p w:rsidR="00196039" w:rsidRDefault="00196039" w:rsidP="00F23466">
            <w:pPr>
              <w:pStyle w:val="BodyText"/>
              <w:rPr>
                <w:highlight w:val="yellow"/>
              </w:rPr>
            </w:pPr>
            <w:r>
              <w:rPr>
                <w:highlight w:val="yellow"/>
              </w:rPr>
              <w:t>2024/25</w:t>
            </w:r>
          </w:p>
        </w:tc>
        <w:tc>
          <w:tcPr>
            <w:tcW w:w="2718" w:type="dxa"/>
          </w:tcPr>
          <w:p w:rsidR="0048644F" w:rsidRDefault="0048644F" w:rsidP="0048644F">
            <w:pPr>
              <w:pStyle w:val="BodyText"/>
              <w:jc w:val="center"/>
              <w:rPr>
                <w:highlight w:val="yellow"/>
              </w:rPr>
            </w:pPr>
            <w:r>
              <w:rPr>
                <w:highlight w:val="yellow"/>
              </w:rPr>
              <w:t>109.62%</w:t>
            </w:r>
          </w:p>
        </w:tc>
        <w:tc>
          <w:tcPr>
            <w:tcW w:w="2718" w:type="dxa"/>
          </w:tcPr>
          <w:p w:rsidR="00196039" w:rsidRDefault="00196039" w:rsidP="00196039">
            <w:pPr>
              <w:pStyle w:val="BodyText"/>
              <w:jc w:val="center"/>
              <w:rPr>
                <w:highlight w:val="yellow"/>
              </w:rPr>
            </w:pPr>
            <w:r>
              <w:rPr>
                <w:highlight w:val="yellow"/>
              </w:rPr>
              <w:t>66.84%</w:t>
            </w:r>
          </w:p>
        </w:tc>
        <w:tc>
          <w:tcPr>
            <w:tcW w:w="2718" w:type="dxa"/>
          </w:tcPr>
          <w:p w:rsidR="00196039" w:rsidRDefault="00196039" w:rsidP="00DA06D8">
            <w:pPr>
              <w:pStyle w:val="BodyText"/>
              <w:rPr>
                <w:highlight w:val="yellow"/>
              </w:rPr>
            </w:pPr>
          </w:p>
        </w:tc>
        <w:tc>
          <w:tcPr>
            <w:tcW w:w="2718" w:type="dxa"/>
          </w:tcPr>
          <w:p w:rsidR="00196039" w:rsidRDefault="00196039" w:rsidP="00DA06D8">
            <w:pPr>
              <w:pStyle w:val="BodyText"/>
              <w:rPr>
                <w:highlight w:val="yellow"/>
              </w:rPr>
            </w:pPr>
          </w:p>
        </w:tc>
        <w:tc>
          <w:tcPr>
            <w:tcW w:w="2718" w:type="dxa"/>
          </w:tcPr>
          <w:p w:rsidR="00196039" w:rsidRDefault="00196039" w:rsidP="00DA06D8">
            <w:pPr>
              <w:pStyle w:val="BodyText"/>
              <w:rPr>
                <w:highlight w:val="yellow"/>
              </w:rPr>
            </w:pPr>
          </w:p>
        </w:tc>
      </w:tr>
    </w:tbl>
    <w:p w:rsidR="000754C4" w:rsidRPr="00A35E66" w:rsidRDefault="00D161CC" w:rsidP="00DA06D8">
      <w:pPr>
        <w:pStyle w:val="BodyText"/>
        <w:pBdr>
          <w:top w:val="single" w:sz="4" w:space="1" w:color="auto"/>
          <w:left w:val="single" w:sz="4" w:space="4" w:color="auto"/>
          <w:bottom w:val="single" w:sz="4" w:space="1" w:color="auto"/>
          <w:right w:val="single" w:sz="4" w:space="4" w:color="auto"/>
        </w:pBdr>
      </w:pPr>
      <w:r w:rsidRPr="004C1B98">
        <w:rPr>
          <w:highlight w:val="yellow"/>
        </w:rPr>
        <w:t>As can be seen</w:t>
      </w:r>
      <w:r w:rsidR="00766071" w:rsidRPr="004C1B98">
        <w:rPr>
          <w:highlight w:val="yellow"/>
        </w:rPr>
        <w:t>,</w:t>
      </w:r>
      <w:r w:rsidRPr="004C1B98">
        <w:rPr>
          <w:highlight w:val="yellow"/>
        </w:rPr>
        <w:t xml:space="preserve"> </w:t>
      </w:r>
      <w:r w:rsidR="00766071" w:rsidRPr="004C1B98">
        <w:rPr>
          <w:highlight w:val="yellow"/>
        </w:rPr>
        <w:t xml:space="preserve">the combination of the </w:t>
      </w:r>
      <w:r w:rsidRPr="004C1B98">
        <w:rPr>
          <w:highlight w:val="yellow"/>
        </w:rPr>
        <w:t>proposed Productivity Improvement Plan, additional rate revenue</w:t>
      </w:r>
      <w:r w:rsidR="00766071" w:rsidRPr="004C1B98">
        <w:rPr>
          <w:highlight w:val="yellow"/>
        </w:rPr>
        <w:t>,</w:t>
      </w:r>
      <w:r w:rsidRPr="004C1B98">
        <w:rPr>
          <w:highlight w:val="yellow"/>
        </w:rPr>
        <w:t xml:space="preserve"> and investment in Council’s existing infrastructure Asset Renewal Program</w:t>
      </w:r>
      <w:r w:rsidR="00766071" w:rsidRPr="004C1B98">
        <w:rPr>
          <w:highlight w:val="yellow"/>
        </w:rPr>
        <w:t xml:space="preserve"> significantly improves Council’s performance in </w:t>
      </w:r>
      <w:r w:rsidR="009060AD">
        <w:rPr>
          <w:highlight w:val="yellow"/>
        </w:rPr>
        <w:t>areas such as the Operating Balance Ratio and the Asset Renewal Ratio</w:t>
      </w:r>
      <w:r w:rsidR="00766071" w:rsidRPr="004C1B98">
        <w:rPr>
          <w:highlight w:val="yellow"/>
        </w:rPr>
        <w:t>.</w:t>
      </w:r>
    </w:p>
    <w:p w:rsidR="004B58E6" w:rsidRPr="00A35E66" w:rsidRDefault="004B58E6" w:rsidP="00261E25">
      <w:pPr>
        <w:pStyle w:val="Heading2"/>
      </w:pPr>
      <w:bookmarkStart w:id="20" w:name="_Toc401138370"/>
      <w:r w:rsidRPr="00A35E66">
        <w:lastRenderedPageBreak/>
        <w:t>Contribution plan costs above the cap</w:t>
      </w:r>
      <w:bookmarkEnd w:id="20"/>
    </w:p>
    <w:p w:rsidR="004B58E6" w:rsidRPr="00A35E66" w:rsidRDefault="008B1F5A" w:rsidP="004B58E6">
      <w:pPr>
        <w:pStyle w:val="BodyText"/>
      </w:pPr>
      <w:r w:rsidRPr="00A35E66">
        <w:t>You should c</w:t>
      </w:r>
      <w:r w:rsidR="00F413CE" w:rsidRPr="00A35E66">
        <w:t>omplete this section i</w:t>
      </w:r>
      <w:r w:rsidR="004B58E6" w:rsidRPr="00A35E66">
        <w:t>f the special variation seeks funding for contributions plan costs above the development contributions cap.</w:t>
      </w:r>
      <w:r w:rsidR="00F57C50" w:rsidRPr="00A35E66">
        <w:t xml:space="preserve"> Otherwise, leave this section blank.</w:t>
      </w:r>
    </w:p>
    <w:p w:rsidR="00C774B5" w:rsidRPr="00A35E66" w:rsidRDefault="008B1F5A" w:rsidP="004B58E6">
      <w:pPr>
        <w:pStyle w:val="BodyText"/>
      </w:pPr>
      <w:r w:rsidRPr="00A35E66">
        <w:t>Please e</w:t>
      </w:r>
      <w:r w:rsidR="00C774B5" w:rsidRPr="00A35E66">
        <w:t>xplain how the council has established the need for a special variation to meet the shortfall in development contributions.</w:t>
      </w:r>
    </w:p>
    <w:p w:rsidR="00D77B17" w:rsidRPr="00A35E66" w:rsidRDefault="00D77B17" w:rsidP="00D77B17">
      <w:pPr>
        <w:pStyle w:val="BoxText"/>
        <w:rPr>
          <w:bCs/>
        </w:rPr>
      </w:pPr>
      <w:r w:rsidRPr="00A35E66">
        <w:rPr>
          <w:rStyle w:val="BodyTextChar"/>
        </w:rPr>
        <w:t>For costs above the cap in contributions plans, a council must provide</w:t>
      </w:r>
      <w:r w:rsidR="0086528B" w:rsidRPr="00A35E66">
        <w:rPr>
          <w:rStyle w:val="BodyTextChar"/>
        </w:rPr>
        <w:t>:</w:t>
      </w:r>
      <w:r w:rsidRPr="00A35E66">
        <w:rPr>
          <w:rStyle w:val="FootnoteReference"/>
        </w:rPr>
        <w:footnoteReference w:id="4"/>
      </w:r>
    </w:p>
    <w:p w:rsidR="00D77B17" w:rsidRPr="00A35E66" w:rsidRDefault="00D77B17" w:rsidP="00D77B17">
      <w:pPr>
        <w:pStyle w:val="ListBullet"/>
      </w:pPr>
      <w:r w:rsidRPr="00A35E66">
        <w:t>a copy of the council’s section 94 contributions plan</w:t>
      </w:r>
    </w:p>
    <w:p w:rsidR="00D77B17" w:rsidRPr="00A35E66" w:rsidRDefault="00D77B17" w:rsidP="00D77B17">
      <w:pPr>
        <w:pStyle w:val="ListBullet"/>
      </w:pPr>
      <w:r w:rsidRPr="00A35E66">
        <w:t>a co</w:t>
      </w:r>
      <w:r w:rsidR="00C774B5" w:rsidRPr="00A35E66">
        <w:t xml:space="preserve">py of the Minister for Planning’s </w:t>
      </w:r>
      <w:r w:rsidRPr="00A35E66">
        <w:t>response to IPART’s review and details of how the council has subsequently amended the contributions plan</w:t>
      </w:r>
    </w:p>
    <w:p w:rsidR="00D77B17" w:rsidRPr="00A35E66" w:rsidRDefault="00D77B17" w:rsidP="00D77B17">
      <w:pPr>
        <w:pStyle w:val="ListBullet"/>
      </w:pPr>
      <w:r w:rsidRPr="00A35E66">
        <w:t>details of any other funding sources that the council is proposing to use</w:t>
      </w:r>
    </w:p>
    <w:p w:rsidR="00D77B17" w:rsidRPr="00A35E66" w:rsidRDefault="00D77B17" w:rsidP="00D77B17">
      <w:pPr>
        <w:pStyle w:val="ListBullet"/>
      </w:pPr>
      <w:proofErr w:type="gramStart"/>
      <w:r w:rsidRPr="00A35E66">
        <w:t>any</w:t>
      </w:r>
      <w:proofErr w:type="gramEnd"/>
      <w:r w:rsidRPr="00A35E66">
        <w:t xml:space="preserve"> reference to the proposed contributions (which were previously to be funded by developers) in the council’s planning documents (</w:t>
      </w:r>
      <w:proofErr w:type="spellStart"/>
      <w:r w:rsidRPr="00A35E66">
        <w:t>eg</w:t>
      </w:r>
      <w:proofErr w:type="spellEnd"/>
      <w:r w:rsidRPr="00A35E66">
        <w:t>, LTFP and Asset Management Plan (AMP)</w:t>
      </w:r>
      <w:r w:rsidR="00BF47D1" w:rsidRPr="00A35E66">
        <w:t>.</w:t>
      </w:r>
    </w:p>
    <w:p w:rsidR="00D77B17" w:rsidRPr="00A35E66"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68"/>
      </w:tblGrid>
      <w:tr w:rsidR="007D46AE" w:rsidRPr="00A35E66" w:rsidTr="007D46AE">
        <w:trPr>
          <w:cantSplit/>
          <w:trHeight w:val="555"/>
        </w:trPr>
        <w:tc>
          <w:tcPr>
            <w:tcW w:w="8368" w:type="dxa"/>
            <w:shd w:val="clear" w:color="auto" w:fill="auto"/>
            <w:tcMar>
              <w:left w:w="0" w:type="dxa"/>
              <w:right w:w="0" w:type="dxa"/>
            </w:tcMar>
          </w:tcPr>
          <w:p w:rsidR="007D46AE" w:rsidRDefault="003C6256" w:rsidP="009465B4">
            <w:r w:rsidRPr="004C1B98">
              <w:rPr>
                <w:highlight w:val="yellow"/>
              </w:rPr>
              <w:t>Council</w:t>
            </w:r>
            <w:r w:rsidR="009465B4" w:rsidRPr="004C1B98">
              <w:rPr>
                <w:highlight w:val="yellow"/>
              </w:rPr>
              <w:t xml:space="preserve">’s SRV Application </w:t>
            </w:r>
            <w:r w:rsidRPr="004C1B98">
              <w:rPr>
                <w:highlight w:val="yellow"/>
              </w:rPr>
              <w:t xml:space="preserve">is NOT </w:t>
            </w:r>
            <w:r w:rsidR="009465B4" w:rsidRPr="004C1B98">
              <w:rPr>
                <w:highlight w:val="yellow"/>
              </w:rPr>
              <w:t>seeking funding for</w:t>
            </w:r>
            <w:r w:rsidRPr="004C1B98">
              <w:rPr>
                <w:highlight w:val="yellow"/>
              </w:rPr>
              <w:t xml:space="preserve"> Contribution Plan costs above the </w:t>
            </w:r>
            <w:r w:rsidR="009465B4" w:rsidRPr="004C1B98">
              <w:rPr>
                <w:highlight w:val="yellow"/>
              </w:rPr>
              <w:t xml:space="preserve">Developer Contributions </w:t>
            </w:r>
            <w:r w:rsidRPr="004C1B98">
              <w:rPr>
                <w:highlight w:val="yellow"/>
              </w:rPr>
              <w:t>cap</w:t>
            </w:r>
            <w:r w:rsidR="009465B4" w:rsidRPr="004C1B98">
              <w:rPr>
                <w:highlight w:val="yellow"/>
              </w:rPr>
              <w:t>.</w:t>
            </w:r>
          </w:p>
          <w:p w:rsidR="00D161CC" w:rsidRPr="00A35E66" w:rsidRDefault="00D161CC" w:rsidP="009465B4"/>
        </w:tc>
      </w:tr>
    </w:tbl>
    <w:p w:rsidR="000F359C" w:rsidRPr="00A35E66" w:rsidRDefault="000F359C" w:rsidP="006607B9">
      <w:pPr>
        <w:pStyle w:val="Heading1"/>
      </w:pPr>
      <w:bookmarkStart w:id="21" w:name="_Toc401138371"/>
      <w:r w:rsidRPr="00A35E66">
        <w:t>Assessment criterion 2: Community awareness and engagement</w:t>
      </w:r>
      <w:bookmarkEnd w:id="21"/>
    </w:p>
    <w:p w:rsidR="00D60EA5" w:rsidRPr="00A35E66" w:rsidRDefault="00235528" w:rsidP="00D60EA5">
      <w:pPr>
        <w:pStyle w:val="BodyText"/>
        <w:spacing w:after="240"/>
      </w:pPr>
      <w:r w:rsidRPr="00A35E66">
        <w:t xml:space="preserve">Criterion 2 within </w:t>
      </w:r>
      <w:r w:rsidR="00D60EA5" w:rsidRPr="00A35E66">
        <w:t xml:space="preserve">the </w:t>
      </w:r>
      <w:r w:rsidR="00540000" w:rsidRPr="00A35E66">
        <w:t>O</w:t>
      </w:r>
      <w:r w:rsidR="00D60EA5" w:rsidRPr="00A35E66">
        <w:t>LG Guidelines is:</w:t>
      </w:r>
    </w:p>
    <w:p w:rsidR="00D60EA5" w:rsidRPr="00A35E66" w:rsidRDefault="00D60EA5" w:rsidP="00B84AA8">
      <w:pPr>
        <w:pStyle w:val="Quote"/>
        <w:rPr>
          <w:rFonts w:ascii="Arial" w:hAnsi="Arial"/>
          <w:i/>
        </w:rPr>
      </w:pPr>
      <w:proofErr w:type="gramStart"/>
      <w:r w:rsidRPr="00A35E66">
        <w:rPr>
          <w:rFonts w:ascii="Arial" w:hAnsi="Arial"/>
          <w:i/>
        </w:rPr>
        <w:t>Evidence that the community is aware of the need for and extent of a rate rise.</w:t>
      </w:r>
      <w:proofErr w:type="gramEnd"/>
      <w:r w:rsidRPr="00A35E66">
        <w:rPr>
          <w:rFonts w:ascii="Arial" w:hAnsi="Arial"/>
          <w:i/>
        </w:rPr>
        <w:t xml:space="preserve">  </w:t>
      </w:r>
      <w:r w:rsidR="00D93423" w:rsidRPr="00A35E66">
        <w:rPr>
          <w:rFonts w:ascii="Arial" w:hAnsi="Arial"/>
          <w:i/>
        </w:rPr>
        <w:t>The</w:t>
      </w:r>
      <w:r w:rsidRPr="00A35E66">
        <w:rPr>
          <w:rFonts w:ascii="Arial" w:hAnsi="Arial"/>
          <w:i/>
        </w:rPr>
        <w:t xml:space="preserve"> IP&amp;R documentation </w:t>
      </w:r>
      <w:r w:rsidR="00D93423" w:rsidRPr="00A35E66">
        <w:rPr>
          <w:rFonts w:ascii="Arial" w:hAnsi="Arial"/>
          <w:i/>
        </w:rPr>
        <w:t xml:space="preserve">should clearly set out the extent of the General Fund rate rise under the special variation.  </w:t>
      </w:r>
      <w:r w:rsidR="00F029E1" w:rsidRPr="00A35E66">
        <w:rPr>
          <w:rFonts w:ascii="Arial" w:hAnsi="Arial"/>
          <w:i/>
        </w:rPr>
        <w:t>The council’s community engagement strategy for the special variation must demonstrate an appropriate variety of engagement methods to ensure an opportunity for community awareness and input to occur.</w:t>
      </w:r>
    </w:p>
    <w:p w:rsidR="00D60EA5" w:rsidRPr="00A35E66" w:rsidRDefault="004F1E3F" w:rsidP="00D60EA5">
      <w:pPr>
        <w:pStyle w:val="BodyText"/>
      </w:pPr>
      <w:r w:rsidRPr="00A35E66">
        <w:t>In responding to</w:t>
      </w:r>
      <w:r w:rsidR="00D60EA5" w:rsidRPr="00A35E66">
        <w:t xml:space="preserve"> this criterion, </w:t>
      </w:r>
      <w:r w:rsidR="00BF47D1" w:rsidRPr="00A35E66">
        <w:t xml:space="preserve">the </w:t>
      </w:r>
      <w:r w:rsidR="00D60EA5" w:rsidRPr="00A35E66">
        <w:t xml:space="preserve">council must provide evidence </w:t>
      </w:r>
      <w:r w:rsidR="00755A85" w:rsidRPr="00A35E66">
        <w:t>that</w:t>
      </w:r>
      <w:r w:rsidR="00D60EA5" w:rsidRPr="00A35E66">
        <w:t>:</w:t>
      </w:r>
      <w:r w:rsidR="0046776A" w:rsidRPr="00A35E66">
        <w:rPr>
          <w:rStyle w:val="FootnoteReference"/>
        </w:rPr>
        <w:t xml:space="preserve"> </w:t>
      </w:r>
    </w:p>
    <w:p w:rsidR="00D60EA5" w:rsidRPr="00A35E66" w:rsidRDefault="00755A85" w:rsidP="00D60EA5">
      <w:pPr>
        <w:pStyle w:val="ListBullet"/>
      </w:pPr>
      <w:r w:rsidRPr="00A35E66">
        <w:t xml:space="preserve">it has </w:t>
      </w:r>
      <w:r w:rsidR="00B84AA8" w:rsidRPr="00A35E66">
        <w:t>c</w:t>
      </w:r>
      <w:r w:rsidR="00D60EA5" w:rsidRPr="00A35E66">
        <w:t>onsulted and engaged the community about the special variation using a variety of engagement methods and that the community is aware of the need for, and extent of, the requested rate increases</w:t>
      </w:r>
    </w:p>
    <w:p w:rsidR="009E7E19" w:rsidRPr="00A35E66" w:rsidRDefault="00755A85" w:rsidP="00D60EA5">
      <w:pPr>
        <w:pStyle w:val="ListBullet"/>
      </w:pPr>
      <w:r w:rsidRPr="00A35E66">
        <w:t xml:space="preserve">it </w:t>
      </w:r>
      <w:r w:rsidR="00B84AA8" w:rsidRPr="00A35E66">
        <w:t>p</w:t>
      </w:r>
      <w:r w:rsidR="00D60EA5" w:rsidRPr="00A35E66">
        <w:t>rovided opportunities for input and gathered input/feedback from the community about the proposal</w:t>
      </w:r>
    </w:p>
    <w:p w:rsidR="00D60EA5" w:rsidRPr="00A35E66" w:rsidRDefault="009E7E19" w:rsidP="009E7E19">
      <w:pPr>
        <w:pStyle w:val="ListBullet"/>
      </w:pPr>
      <w:proofErr w:type="gramStart"/>
      <w:r w:rsidRPr="00A35E66">
        <w:lastRenderedPageBreak/>
        <w:t>the</w:t>
      </w:r>
      <w:proofErr w:type="gramEnd"/>
      <w:r w:rsidRPr="00A35E66">
        <w:t xml:space="preserve"> IP&amp;R documents clearly set out the extent of the requested rate increases</w:t>
      </w:r>
      <w:r w:rsidR="0065063C" w:rsidRPr="00A35E66">
        <w:t>.</w:t>
      </w:r>
    </w:p>
    <w:p w:rsidR="00901623" w:rsidRPr="00A35E66" w:rsidRDefault="00D60EA5" w:rsidP="00901623">
      <w:pPr>
        <w:pStyle w:val="BodyText"/>
      </w:pPr>
      <w:r w:rsidRPr="00A35E66">
        <w:t>In assessing the evidence, we will consider how transparent the engagement with the community has been, especially in relation to explaining:</w:t>
      </w:r>
      <w:r w:rsidR="00216DCF" w:rsidRPr="00A35E66">
        <w:t xml:space="preserve"> </w:t>
      </w:r>
    </w:p>
    <w:p w:rsidR="00D60EA5" w:rsidRPr="00A35E66" w:rsidRDefault="00D60EA5" w:rsidP="00901623">
      <w:pPr>
        <w:pStyle w:val="ListBullet"/>
      </w:pPr>
      <w:r w:rsidRPr="00A35E66">
        <w:t xml:space="preserve">the proposed cumulative </w:t>
      </w:r>
      <w:r w:rsidR="000A58C7" w:rsidRPr="00A35E66">
        <w:t xml:space="preserve">special variation </w:t>
      </w:r>
      <w:r w:rsidRPr="00A35E66">
        <w:t xml:space="preserve">rate increases including the rate peg </w:t>
      </w:r>
      <w:r w:rsidR="00901623" w:rsidRPr="00A35E66">
        <w:t xml:space="preserve">for each rating category </w:t>
      </w:r>
      <w:r w:rsidRPr="00A35E66">
        <w:t>(in both percentage and dollar terms)</w:t>
      </w:r>
    </w:p>
    <w:p w:rsidR="00D60EA5" w:rsidRPr="00A35E66" w:rsidRDefault="00D60EA5" w:rsidP="00D60EA5">
      <w:pPr>
        <w:pStyle w:val="ListBullet"/>
      </w:pPr>
      <w:r w:rsidRPr="00A35E66">
        <w:t>the annual increase in rates that will result if the special variation is approved in full (and not just the increase in daily or weekly terms)</w:t>
      </w:r>
    </w:p>
    <w:p w:rsidR="00D60EA5" w:rsidRPr="00A35E66" w:rsidRDefault="00D60EA5" w:rsidP="00D60EA5">
      <w:pPr>
        <w:pStyle w:val="ListBullet"/>
      </w:pPr>
      <w:r w:rsidRPr="00A35E66">
        <w:t xml:space="preserve">the size </w:t>
      </w:r>
      <w:r w:rsidR="00BD468D" w:rsidRPr="00A35E66">
        <w:t xml:space="preserve">and impact </w:t>
      </w:r>
      <w:r w:rsidRPr="00A35E66">
        <w:t>of any expiring special variation (see Box 4.1 below</w:t>
      </w:r>
      <w:r w:rsidR="000A58C7" w:rsidRPr="00A35E66">
        <w:t xml:space="preserve"> for </w:t>
      </w:r>
      <w:r w:rsidR="00445306" w:rsidRPr="00A35E66">
        <w:t>further</w:t>
      </w:r>
      <w:r w:rsidR="000A58C7" w:rsidRPr="00A35E66">
        <w:t xml:space="preserve"> detail</w:t>
      </w:r>
      <w:r w:rsidRPr="00A35E66">
        <w:t>)</w:t>
      </w:r>
    </w:p>
    <w:p w:rsidR="00D60EA5" w:rsidRPr="00A35E66" w:rsidRDefault="00445306" w:rsidP="00D60EA5">
      <w:pPr>
        <w:pStyle w:val="ListBullet"/>
      </w:pPr>
      <w:r w:rsidRPr="00A35E66">
        <w:t>the</w:t>
      </w:r>
      <w:r w:rsidR="00D60EA5" w:rsidRPr="00A35E66">
        <w:t xml:space="preserve"> rate levels that would apply without the special variation</w:t>
      </w:r>
    </w:p>
    <w:p w:rsidR="00D60EA5" w:rsidRPr="00A35E66" w:rsidRDefault="00D60EA5" w:rsidP="00D60EA5">
      <w:pPr>
        <w:pStyle w:val="ListBullet"/>
      </w:pPr>
      <w:proofErr w:type="gramStart"/>
      <w:r w:rsidRPr="00A35E66">
        <w:t>proposed</w:t>
      </w:r>
      <w:proofErr w:type="gramEnd"/>
      <w:r w:rsidRPr="00A35E66">
        <w:t xml:space="preserve"> increases in any other council charges (</w:t>
      </w:r>
      <w:proofErr w:type="spellStart"/>
      <w:r w:rsidRPr="00A35E66">
        <w:t>eg</w:t>
      </w:r>
      <w:proofErr w:type="spellEnd"/>
      <w:r w:rsidRPr="00A35E66">
        <w:t>, waste management, water and sewer), especially if these are likely to exceed the increase in the CPI.</w:t>
      </w:r>
    </w:p>
    <w:p w:rsidR="007C25F0" w:rsidRPr="00A35E66" w:rsidRDefault="007C25F0" w:rsidP="00464B32">
      <w:pPr>
        <w:pStyle w:val="BodyText"/>
      </w:pPr>
      <w:r w:rsidRPr="00A35E66">
        <w:t xml:space="preserve">More information about how the council may engage the community is to be found in the OLG </w:t>
      </w:r>
      <w:r w:rsidRPr="00A35E66">
        <w:rPr>
          <w:i/>
        </w:rPr>
        <w:t>Guidelines</w:t>
      </w:r>
      <w:r w:rsidRPr="00A35E66">
        <w:t xml:space="preserve">, the IP&amp;R manual, and IPART’s Fact Sheet </w:t>
      </w:r>
      <w:r w:rsidRPr="00A35E66">
        <w:rPr>
          <w:i/>
        </w:rPr>
        <w:t>Community Awareness and Engagement</w:t>
      </w:r>
      <w:r w:rsidR="001F1E22" w:rsidRPr="00A35E66">
        <w:rPr>
          <w:i/>
        </w:rPr>
        <w:t xml:space="preserve"> for special variation applications</w:t>
      </w:r>
      <w:r w:rsidRPr="00A35E66">
        <w:t>, October 2014.</w:t>
      </w:r>
    </w:p>
    <w:p w:rsidR="00D60EA5" w:rsidRPr="00A35E66" w:rsidRDefault="00D60EA5" w:rsidP="00B84AA8">
      <w:pPr>
        <w:pStyle w:val="BodyText"/>
      </w:pPr>
    </w:p>
    <w:tbl>
      <w:tblPr>
        <w:tblW w:w="7938" w:type="dxa"/>
        <w:tblLayout w:type="fixed"/>
        <w:tblCellMar>
          <w:left w:w="28" w:type="dxa"/>
          <w:right w:w="28" w:type="dxa"/>
        </w:tblCellMar>
        <w:tblLook w:val="0000"/>
      </w:tblPr>
      <w:tblGrid>
        <w:gridCol w:w="7938"/>
      </w:tblGrid>
      <w:tr w:rsidR="00D60EA5" w:rsidRPr="00A35E66" w:rsidTr="006607B9">
        <w:trPr>
          <w:cantSplit/>
        </w:trPr>
        <w:tc>
          <w:tcPr>
            <w:tcW w:w="7938" w:type="dxa"/>
            <w:tcBorders>
              <w:top w:val="single" w:sz="24" w:space="0" w:color="7C7C7C"/>
            </w:tcBorders>
            <w:shd w:val="clear" w:color="auto" w:fill="auto"/>
            <w:tcMar>
              <w:left w:w="0" w:type="dxa"/>
              <w:right w:w="0" w:type="dxa"/>
            </w:tcMar>
          </w:tcPr>
          <w:p w:rsidR="00D60EA5" w:rsidRPr="00A35E66" w:rsidRDefault="0030767F" w:rsidP="00B84AA8">
            <w:pPr>
              <w:pStyle w:val="BoxTitle"/>
            </w:pPr>
            <w:r w:rsidRPr="00A35E66">
              <w:fldChar w:fldCharType="begin"/>
            </w:r>
            <w:r w:rsidR="00D60EA5" w:rsidRPr="00A35E66">
              <w:instrText xml:space="preserve"> IF 1 = 1 "Box </w:instrText>
            </w:r>
            <w:r w:rsidRPr="00A35E66">
              <w:fldChar w:fldCharType="begin"/>
            </w:r>
            <w:r w:rsidR="00D60EA5" w:rsidRPr="00A35E66">
              <w:instrText xml:space="preserve"> IF </w:instrText>
            </w:r>
            <w:r w:rsidRPr="00A35E66">
              <w:fldChar w:fldCharType="begin"/>
            </w:r>
            <w:r w:rsidR="009E1CA9" w:rsidRPr="00A35E66">
              <w:instrText xml:space="preserve"> STYLEREF "Heading 6" \l \n </w:instrText>
            </w:r>
            <w:r w:rsidRPr="00A35E66">
              <w:fldChar w:fldCharType="separate"/>
            </w:r>
            <w:r w:rsidR="008B0EF1">
              <w:rPr>
                <w:noProof/>
              </w:rPr>
              <w:instrText>0</w:instrText>
            </w:r>
            <w:r w:rsidRPr="00A35E66">
              <w:fldChar w:fldCharType="end"/>
            </w:r>
            <w:r w:rsidR="00D60EA5" w:rsidRPr="00A35E66">
              <w:instrText xml:space="preserve"> = 0 "</w:instrText>
            </w:r>
            <w:r w:rsidRPr="00A35E66">
              <w:fldChar w:fldCharType="begin"/>
            </w:r>
            <w:r w:rsidR="00D60EA5" w:rsidRPr="00A35E66">
              <w:instrText xml:space="preserve"> IF </w:instrText>
            </w:r>
            <w:r w:rsidRPr="00A35E66">
              <w:fldChar w:fldCharType="begin"/>
            </w:r>
            <w:r w:rsidR="009E1CA9" w:rsidRPr="00A35E66">
              <w:instrText xml:space="preserve"> STYLEREF "Heading 1" \l \n </w:instrText>
            </w:r>
            <w:r w:rsidRPr="00A35E66">
              <w:fldChar w:fldCharType="separate"/>
            </w:r>
            <w:r w:rsidR="008B0EF1">
              <w:rPr>
                <w:noProof/>
              </w:rPr>
              <w:instrText>4</w:instrText>
            </w:r>
            <w:r w:rsidRPr="00A35E66">
              <w:fldChar w:fldCharType="end"/>
            </w:r>
            <w:r w:rsidR="00D60EA5" w:rsidRPr="00A35E66">
              <w:instrText xml:space="preserve"> = 0 "" "</w:instrText>
            </w:r>
            <w:r w:rsidRPr="00A35E66">
              <w:fldChar w:fldCharType="begin"/>
            </w:r>
            <w:r w:rsidR="009E1CA9" w:rsidRPr="00A35E66">
              <w:instrText xml:space="preserve"> STYLEREF "Heading 1" \l \n </w:instrText>
            </w:r>
            <w:r w:rsidRPr="00A35E66">
              <w:fldChar w:fldCharType="separate"/>
            </w:r>
            <w:r w:rsidR="008B0EF1">
              <w:rPr>
                <w:noProof/>
              </w:rPr>
              <w:instrText>4</w:instrText>
            </w:r>
            <w:r w:rsidRPr="00A35E66">
              <w:fldChar w:fldCharType="end"/>
            </w:r>
            <w:r w:rsidR="00D60EA5" w:rsidRPr="00A35E66">
              <w:instrText xml:space="preserve">." </w:instrText>
            </w:r>
            <w:r w:rsidRPr="00A35E66">
              <w:fldChar w:fldCharType="separate"/>
            </w:r>
            <w:r w:rsidR="008B0EF1">
              <w:rPr>
                <w:noProof/>
              </w:rPr>
              <w:instrText>4</w:instrText>
            </w:r>
            <w:r w:rsidR="008B0EF1" w:rsidRPr="00A35E66">
              <w:rPr>
                <w:noProof/>
              </w:rPr>
              <w:instrText>.</w:instrText>
            </w:r>
            <w:r w:rsidRPr="00A35E66">
              <w:fldChar w:fldCharType="end"/>
            </w:r>
            <w:r w:rsidR="00D60EA5" w:rsidRPr="00A35E66">
              <w:instrText>" "</w:instrText>
            </w:r>
            <w:r w:rsidRPr="00A35E66">
              <w:fldChar w:fldCharType="begin"/>
            </w:r>
            <w:r w:rsidR="00D60EA5" w:rsidRPr="00A35E66">
              <w:instrText xml:space="preserve"> STYLEREF "Heading 6" \l \n </w:instrText>
            </w:r>
            <w:r w:rsidRPr="00A35E66">
              <w:fldChar w:fldCharType="separate"/>
            </w:r>
            <w:r w:rsidR="00D60EA5" w:rsidRPr="00A35E66">
              <w:rPr>
                <w:b w:val="0"/>
                <w:bCs/>
              </w:rPr>
              <w:instrText>Error! No text of specified style in document.</w:instrText>
            </w:r>
            <w:r w:rsidRPr="00A35E66">
              <w:fldChar w:fldCharType="end"/>
            </w:r>
            <w:r w:rsidR="00D60EA5" w:rsidRPr="00A35E66">
              <w:instrText xml:space="preserve">." </w:instrText>
            </w:r>
            <w:r w:rsidRPr="00A35E66">
              <w:fldChar w:fldCharType="separate"/>
            </w:r>
            <w:r w:rsidR="008B0EF1">
              <w:rPr>
                <w:noProof/>
              </w:rPr>
              <w:instrText>4</w:instrText>
            </w:r>
            <w:r w:rsidR="008B0EF1" w:rsidRPr="00A35E66">
              <w:rPr>
                <w:noProof/>
              </w:rPr>
              <w:instrText>.</w:instrText>
            </w:r>
            <w:r w:rsidRPr="00A35E66">
              <w:fldChar w:fldCharType="end"/>
            </w:r>
            <w:r w:rsidRPr="00A35E66">
              <w:fldChar w:fldCharType="begin"/>
            </w:r>
            <w:r w:rsidR="00D60EA5" w:rsidRPr="00A35E66">
              <w:instrText xml:space="preserve"> SEQ Box \* ARABIC \s </w:instrText>
            </w:r>
            <w:r w:rsidRPr="00A35E66">
              <w:fldChar w:fldCharType="begin"/>
            </w:r>
            <w:r w:rsidR="00D60EA5" w:rsidRPr="00A35E66">
              <w:instrText xml:space="preserve"> IF </w:instrText>
            </w:r>
            <w:r w:rsidRPr="00A35E66">
              <w:fldChar w:fldCharType="begin"/>
            </w:r>
            <w:r w:rsidR="009E1CA9" w:rsidRPr="00A35E66">
              <w:instrText xml:space="preserve"> STYLEREF "Heading 6" \l \n </w:instrText>
            </w:r>
            <w:r w:rsidRPr="00A35E66">
              <w:fldChar w:fldCharType="separate"/>
            </w:r>
            <w:r w:rsidR="008B0EF1">
              <w:rPr>
                <w:noProof/>
              </w:rPr>
              <w:instrText>0</w:instrText>
            </w:r>
            <w:r w:rsidRPr="00A35E66">
              <w:fldChar w:fldCharType="end"/>
            </w:r>
            <w:r w:rsidR="00D60EA5" w:rsidRPr="00A35E66">
              <w:instrText xml:space="preserve"> = 0 "</w:instrText>
            </w:r>
            <w:r w:rsidRPr="00A35E66">
              <w:fldChar w:fldCharType="begin"/>
            </w:r>
            <w:r w:rsidR="00D60EA5" w:rsidRPr="00A35E66">
              <w:instrText xml:space="preserve"> IF </w:instrText>
            </w:r>
            <w:r w:rsidRPr="00A35E66">
              <w:fldChar w:fldCharType="begin"/>
            </w:r>
            <w:r w:rsidR="009E1CA9" w:rsidRPr="00A35E66">
              <w:instrText xml:space="preserve"> STYLEREF "Heading 1" \l \n </w:instrText>
            </w:r>
            <w:r w:rsidRPr="00A35E66">
              <w:fldChar w:fldCharType="separate"/>
            </w:r>
            <w:r w:rsidR="008B0EF1">
              <w:rPr>
                <w:noProof/>
              </w:rPr>
              <w:instrText>4</w:instrText>
            </w:r>
            <w:r w:rsidRPr="00A35E66">
              <w:fldChar w:fldCharType="end"/>
            </w:r>
            <w:r w:rsidR="00D60EA5" w:rsidRPr="00A35E66">
              <w:instrText xml:space="preserve"> = 0 "" "1" </w:instrText>
            </w:r>
            <w:r w:rsidRPr="00A35E66">
              <w:fldChar w:fldCharType="separate"/>
            </w:r>
            <w:r w:rsidR="008B0EF1" w:rsidRPr="00A35E66">
              <w:rPr>
                <w:noProof/>
              </w:rPr>
              <w:instrText>1</w:instrText>
            </w:r>
            <w:r w:rsidRPr="00A35E66">
              <w:fldChar w:fldCharType="end"/>
            </w:r>
            <w:r w:rsidR="00D60EA5" w:rsidRPr="00A35E66">
              <w:instrText xml:space="preserve">" "6" </w:instrText>
            </w:r>
            <w:r w:rsidRPr="00A35E66">
              <w:fldChar w:fldCharType="separate"/>
            </w:r>
            <w:r w:rsidR="008B0EF1" w:rsidRPr="00A35E66">
              <w:rPr>
                <w:noProof/>
              </w:rPr>
              <w:instrText>1</w:instrText>
            </w:r>
            <w:r w:rsidRPr="00A35E66">
              <w:fldChar w:fldCharType="end"/>
            </w:r>
            <w:r w:rsidR="00D60EA5" w:rsidRPr="00A35E66">
              <w:instrText xml:space="preserve"> </w:instrText>
            </w:r>
            <w:r w:rsidRPr="00A35E66">
              <w:fldChar w:fldCharType="separate"/>
            </w:r>
            <w:r w:rsidR="008B0EF1">
              <w:rPr>
                <w:noProof/>
              </w:rPr>
              <w:instrText>1</w:instrText>
            </w:r>
            <w:r w:rsidRPr="00A35E66">
              <w:fldChar w:fldCharType="end"/>
            </w:r>
            <w:r w:rsidR="00D60EA5" w:rsidRPr="00A35E66">
              <w:instrText xml:space="preserve">" "" </w:instrText>
            </w:r>
            <w:r w:rsidRPr="00A35E66">
              <w:fldChar w:fldCharType="separate"/>
            </w:r>
            <w:bookmarkStart w:id="22" w:name="_Box6820"/>
            <w:r w:rsidR="008B0EF1" w:rsidRPr="00A35E66">
              <w:rPr>
                <w:noProof/>
              </w:rPr>
              <w:t xml:space="preserve">Box </w:t>
            </w:r>
            <w:r w:rsidR="008B0EF1">
              <w:rPr>
                <w:noProof/>
              </w:rPr>
              <w:t>4</w:t>
            </w:r>
            <w:r w:rsidR="008B0EF1" w:rsidRPr="00A35E66">
              <w:rPr>
                <w:noProof/>
              </w:rPr>
              <w:t>.</w:t>
            </w:r>
            <w:r w:rsidR="008B0EF1">
              <w:rPr>
                <w:noProof/>
              </w:rPr>
              <w:t>1</w:t>
            </w:r>
            <w:bookmarkEnd w:id="22"/>
            <w:r w:rsidRPr="00A35E66">
              <w:fldChar w:fldCharType="end"/>
            </w:r>
            <w:r w:rsidR="00D60EA5" w:rsidRPr="00A35E66">
              <w:tab/>
              <w:t>Where a council is renewing or replacing an expiring special variation</w:t>
            </w:r>
          </w:p>
        </w:tc>
      </w:tr>
      <w:tr w:rsidR="00D60EA5" w:rsidRPr="00A35E66" w:rsidTr="006607B9">
        <w:trPr>
          <w:cantSplit/>
        </w:trPr>
        <w:tc>
          <w:tcPr>
            <w:tcW w:w="7938" w:type="dxa"/>
            <w:shd w:val="clear" w:color="auto" w:fill="auto"/>
            <w:tcMar>
              <w:left w:w="0" w:type="dxa"/>
              <w:right w:w="0" w:type="dxa"/>
            </w:tcMar>
          </w:tcPr>
          <w:p w:rsidR="00D60EA5" w:rsidRPr="00A35E66" w:rsidRDefault="00D60EA5" w:rsidP="006607B9">
            <w:pPr>
              <w:pStyle w:val="BoxText"/>
            </w:pPr>
            <w:r w:rsidRPr="00A35E66">
              <w:t>The council</w:t>
            </w:r>
            <w:r w:rsidR="00122DB2" w:rsidRPr="00A35E66">
              <w:t>’s application</w:t>
            </w:r>
            <w:r w:rsidRPr="00A35E66">
              <w:t xml:space="preserve"> should </w:t>
            </w:r>
            <w:r w:rsidR="00122DB2" w:rsidRPr="00A35E66">
              <w:t xml:space="preserve">show how you have </w:t>
            </w:r>
            <w:r w:rsidRPr="00A35E66">
              <w:t>explain</w:t>
            </w:r>
            <w:r w:rsidR="00122DB2" w:rsidRPr="00A35E66">
              <w:t>ed</w:t>
            </w:r>
            <w:r w:rsidRPr="00A35E66">
              <w:t xml:space="preserve"> to its community:</w:t>
            </w:r>
          </w:p>
          <w:p w:rsidR="00D60EA5" w:rsidRPr="00A35E66" w:rsidRDefault="000A58C7" w:rsidP="006607B9">
            <w:pPr>
              <w:pStyle w:val="BoxListBullet"/>
            </w:pPr>
            <w:r w:rsidRPr="00A35E66">
              <w:t>T</w:t>
            </w:r>
            <w:r w:rsidR="00D60EA5" w:rsidRPr="00A35E66">
              <w:t>here is a special variation due to expire at the end of th</w:t>
            </w:r>
            <w:r w:rsidR="00D06665" w:rsidRPr="00A35E66">
              <w:t xml:space="preserve">e current </w:t>
            </w:r>
            <w:r w:rsidR="00D60EA5" w:rsidRPr="00A35E66">
              <w:t>financial year or during the period covered by the proposed special variation</w:t>
            </w:r>
            <w:r w:rsidRPr="00A35E66">
              <w:t xml:space="preserve">.  This needs to </w:t>
            </w:r>
            <w:r w:rsidR="00C94A16" w:rsidRPr="00A35E66">
              <w:t xml:space="preserve">include when </w:t>
            </w:r>
            <w:r w:rsidR="007730A7" w:rsidRPr="00A35E66">
              <w:t xml:space="preserve">the expiring special variation was originally </w:t>
            </w:r>
            <w:r w:rsidR="00C94A16" w:rsidRPr="00A35E66">
              <w:t xml:space="preserve">approved, for what purpose and the </w:t>
            </w:r>
            <w:r w:rsidR="00A041EB" w:rsidRPr="00A35E66">
              <w:t xml:space="preserve">percentage </w:t>
            </w:r>
            <w:r w:rsidRPr="00A35E66">
              <w:t xml:space="preserve">of </w:t>
            </w:r>
            <w:r w:rsidR="00270E9D" w:rsidRPr="00A35E66">
              <w:t xml:space="preserve">(General Fund) </w:t>
            </w:r>
            <w:r w:rsidRPr="00A35E66">
              <w:t>general income originally approved</w:t>
            </w:r>
            <w:r w:rsidR="009D36D4" w:rsidRPr="00A35E66">
              <w:t>.</w:t>
            </w:r>
          </w:p>
          <w:p w:rsidR="00EF1DCA" w:rsidRPr="00A35E66" w:rsidRDefault="00EF1DCA" w:rsidP="00356BC4">
            <w:pPr>
              <w:pStyle w:val="BoxListBullet"/>
            </w:pPr>
            <w:r w:rsidRPr="00A35E66">
              <w:t>The corresponding percentage of general income that the expiring special variation represents for the relevant year.</w:t>
            </w:r>
          </w:p>
          <w:p w:rsidR="00B97221" w:rsidRPr="00A35E66" w:rsidRDefault="00B97221" w:rsidP="00356BC4">
            <w:pPr>
              <w:pStyle w:val="BoxListBullet"/>
            </w:pPr>
            <w:r w:rsidRPr="00A35E66">
              <w:t>Whether the temporary expiring special variation is being replaced with a</w:t>
            </w:r>
            <w:r w:rsidR="00EF1DCA" w:rsidRPr="00A35E66">
              <w:t>nother</w:t>
            </w:r>
            <w:r w:rsidRPr="00A35E66">
              <w:t xml:space="preserve"> temporary or </w:t>
            </w:r>
            <w:r w:rsidR="00EF1DCA" w:rsidRPr="00A35E66">
              <w:t xml:space="preserve">a </w:t>
            </w:r>
            <w:r w:rsidRPr="00A35E66">
              <w:t>permanent increase to the rate base</w:t>
            </w:r>
            <w:r w:rsidR="00DF7DA8" w:rsidRPr="00A35E66">
              <w:t>.</w:t>
            </w:r>
          </w:p>
          <w:p w:rsidR="00EF1DCA" w:rsidRPr="00A35E66" w:rsidRDefault="00EF1DCA" w:rsidP="00EF1DCA">
            <w:pPr>
              <w:pStyle w:val="BoxListBullet"/>
            </w:pPr>
            <w:r w:rsidRPr="00A35E66">
              <w:t>The percentage value of any additional variation amount, above the rate peg, for which the council is applying for through a special variation.</w:t>
            </w:r>
          </w:p>
          <w:p w:rsidR="00D60EA5" w:rsidRPr="00A35E66" w:rsidRDefault="00A01F5A" w:rsidP="006607B9">
            <w:pPr>
              <w:pStyle w:val="BoxListBullet"/>
            </w:pPr>
            <w:r w:rsidRPr="00A35E66">
              <w:t>I</w:t>
            </w:r>
            <w:r w:rsidR="00D60EA5" w:rsidRPr="00A35E66">
              <w:t xml:space="preserve">f the </w:t>
            </w:r>
            <w:r w:rsidR="00270E9D" w:rsidRPr="00A35E66">
              <w:t xml:space="preserve">proposed </w:t>
            </w:r>
            <w:r w:rsidR="00D60EA5" w:rsidRPr="00A35E66">
              <w:t xml:space="preserve">special variation </w:t>
            </w:r>
            <w:r w:rsidR="00345C90" w:rsidRPr="00A35E66">
              <w:t xml:space="preserve">was </w:t>
            </w:r>
            <w:r w:rsidR="00D60EA5" w:rsidRPr="00A35E66">
              <w:t xml:space="preserve">not approved </w:t>
            </w:r>
            <w:proofErr w:type="spellStart"/>
            <w:r w:rsidR="00270E9D" w:rsidRPr="00A35E66">
              <w:t>ie</w:t>
            </w:r>
            <w:proofErr w:type="spellEnd"/>
            <w:r w:rsidR="00270E9D" w:rsidRPr="00A35E66">
              <w:t xml:space="preserve">, </w:t>
            </w:r>
            <w:r w:rsidR="00D60EA5" w:rsidRPr="00A35E66">
              <w:t>only the rate peg applie</w:t>
            </w:r>
            <w:r w:rsidR="00270E9D" w:rsidRPr="00A35E66">
              <w:t>s</w:t>
            </w:r>
            <w:r w:rsidR="00D60EA5" w:rsidRPr="00A35E66">
              <w:t>, the year-on-year change in rates would be lower, or that rates may fall</w:t>
            </w:r>
            <w:r w:rsidR="009D36D4" w:rsidRPr="00A35E66">
              <w:t>.</w:t>
            </w:r>
          </w:p>
          <w:p w:rsidR="00C94A16" w:rsidRPr="00A35E66" w:rsidRDefault="00C94A16" w:rsidP="00B230DF">
            <w:pPr>
              <w:pStyle w:val="BoxText"/>
            </w:pPr>
            <w:r w:rsidRPr="00A35E66">
              <w:t xml:space="preserve">The council </w:t>
            </w:r>
            <w:r w:rsidR="00B230DF" w:rsidRPr="00A35E66">
              <w:t xml:space="preserve">also </w:t>
            </w:r>
            <w:r w:rsidRPr="00A35E66">
              <w:t>must attach</w:t>
            </w:r>
            <w:r w:rsidR="00B230DF" w:rsidRPr="00A35E66">
              <w:t>, to its application to IPART,</w:t>
            </w:r>
            <w:r w:rsidRPr="00A35E66">
              <w:t xml:space="preserve"> a copy of the Instrument of Approval that has been signed by </w:t>
            </w:r>
            <w:r w:rsidR="00B230DF" w:rsidRPr="00A35E66">
              <w:t>the Minister or IPART Chairman.</w:t>
            </w:r>
          </w:p>
        </w:tc>
      </w:tr>
      <w:tr w:rsidR="00D60EA5" w:rsidRPr="00A35E66"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Pr="00A35E66" w:rsidRDefault="00D60EA5" w:rsidP="006607B9">
            <w:pPr>
              <w:pStyle w:val="Source"/>
              <w:keepNext/>
              <w:ind w:left="-57"/>
            </w:pPr>
          </w:p>
        </w:tc>
      </w:tr>
    </w:tbl>
    <w:p w:rsidR="00122DB2" w:rsidRPr="00A35E66" w:rsidRDefault="00122DB2" w:rsidP="00122DB2">
      <w:pPr>
        <w:pStyle w:val="Subtitle"/>
        <w:rPr>
          <w:sz w:val="24"/>
        </w:rPr>
      </w:pPr>
      <w:bookmarkStart w:id="23" w:name="_Toc366160411"/>
      <w:bookmarkStart w:id="24" w:name="_Toc401138372"/>
      <w:r w:rsidRPr="00A35E66">
        <w:br w:type="page"/>
      </w:r>
    </w:p>
    <w:p w:rsidR="00D60EA5" w:rsidRPr="00A35E66" w:rsidRDefault="00D60EA5" w:rsidP="00D60EA5">
      <w:pPr>
        <w:pStyle w:val="Heading2"/>
        <w:ind w:right="-141"/>
        <w:rPr>
          <w:bCs/>
        </w:rPr>
      </w:pPr>
      <w:r w:rsidRPr="00A35E66">
        <w:rPr>
          <w:bCs/>
        </w:rPr>
        <w:lastRenderedPageBreak/>
        <w:t>The consultation strategy</w:t>
      </w:r>
      <w:bookmarkEnd w:id="23"/>
      <w:bookmarkEnd w:id="24"/>
    </w:p>
    <w:p w:rsidR="00D60EA5" w:rsidRPr="00A35E66" w:rsidRDefault="003D55F5" w:rsidP="00D60EA5">
      <w:pPr>
        <w:pStyle w:val="BodyText"/>
      </w:pPr>
      <w:r w:rsidRPr="00A35E66">
        <w:t>The council is required to p</w:t>
      </w:r>
      <w:r w:rsidR="00D60EA5" w:rsidRPr="00A35E66">
        <w:t xml:space="preserve">rovide details of the consultation strategy undertaken, including the range of methods used to inform </w:t>
      </w:r>
      <w:r w:rsidR="00D47243" w:rsidRPr="00A35E66">
        <w:t xml:space="preserve">and engage with </w:t>
      </w:r>
      <w:r w:rsidR="00D60EA5" w:rsidRPr="00A35E66">
        <w:t>the community about the proposed special variation</w:t>
      </w:r>
      <w:r w:rsidR="00D47243" w:rsidRPr="00A35E66">
        <w:t xml:space="preserve"> and </w:t>
      </w:r>
      <w:r w:rsidR="00D60EA5" w:rsidRPr="00A35E66">
        <w:t xml:space="preserve">to obtain </w:t>
      </w:r>
      <w:r w:rsidR="00D47243" w:rsidRPr="00A35E66">
        <w:t xml:space="preserve">community </w:t>
      </w:r>
      <w:r w:rsidR="00D60EA5" w:rsidRPr="00A35E66">
        <w:t xml:space="preserve">input and feedback.  The </w:t>
      </w:r>
      <w:r w:rsidR="00D47243" w:rsidRPr="00A35E66">
        <w:t>e</w:t>
      </w:r>
      <w:r w:rsidR="00D60EA5" w:rsidRPr="00A35E66">
        <w:t>ngagement activities could include media releases, mail outs, focus groups,</w:t>
      </w:r>
      <w:r w:rsidR="00445306" w:rsidRPr="00A35E66">
        <w:t xml:space="preserve"> statistically valid</w:t>
      </w:r>
      <w:r w:rsidR="00D60EA5" w:rsidRPr="00A35E66">
        <w:t xml:space="preserve"> random or opt-in surveys, online discussions, public meetings, newspaper advertisements and public exhibition of documents.</w:t>
      </w:r>
    </w:p>
    <w:p w:rsidR="00D60EA5" w:rsidRPr="00A35E66" w:rsidRDefault="00A76397" w:rsidP="00D60EA5">
      <w:pPr>
        <w:pStyle w:val="BodyText"/>
      </w:pPr>
      <w:r w:rsidRPr="00A35E66">
        <w:t>The council is to p</w:t>
      </w:r>
      <w:r w:rsidR="00D60EA5" w:rsidRPr="00A35E66">
        <w:t xml:space="preserve">rovide relevant extracts of the IP&amp;R documents that explain the </w:t>
      </w:r>
      <w:r w:rsidR="00D47243" w:rsidRPr="00A35E66">
        <w:t xml:space="preserve">proposed rate rises under the special variation </w:t>
      </w:r>
      <w:r w:rsidR="00D60EA5" w:rsidRPr="00A35E66">
        <w:t>and attach relevant samples of the council’s consultation material.</w:t>
      </w:r>
    </w:p>
    <w:p w:rsidR="0042714F" w:rsidRPr="004C1B98" w:rsidRDefault="0042714F" w:rsidP="00536D71">
      <w:pPr>
        <w:pStyle w:val="BodyText"/>
        <w:pBdr>
          <w:top w:val="single" w:sz="4" w:space="1" w:color="auto"/>
          <w:left w:val="single" w:sz="4" w:space="4" w:color="auto"/>
          <w:bottom w:val="single" w:sz="4" w:space="24" w:color="auto"/>
          <w:right w:val="single" w:sz="4" w:space="4" w:color="auto"/>
        </w:pBdr>
        <w:rPr>
          <w:highlight w:val="yellow"/>
        </w:rPr>
      </w:pPr>
      <w:r w:rsidRPr="004C1B98">
        <w:rPr>
          <w:highlight w:val="yellow"/>
        </w:rPr>
        <w:t xml:space="preserve">Council developed a Community Consultation Plan and undertook a variety of activities to engage the community </w:t>
      </w:r>
      <w:r w:rsidR="00C93547">
        <w:rPr>
          <w:highlight w:val="yellow"/>
        </w:rPr>
        <w:t>o</w:t>
      </w:r>
      <w:r w:rsidRPr="004C1B98">
        <w:rPr>
          <w:highlight w:val="yellow"/>
        </w:rPr>
        <w:t xml:space="preserve">n the proposed SRV. </w:t>
      </w:r>
    </w:p>
    <w:p w:rsidR="0042714F" w:rsidRPr="004C1B98" w:rsidRDefault="0042714F" w:rsidP="00536D71">
      <w:pPr>
        <w:pStyle w:val="BodyText"/>
        <w:pBdr>
          <w:top w:val="single" w:sz="4" w:space="1" w:color="auto"/>
          <w:left w:val="single" w:sz="4" w:space="4" w:color="auto"/>
          <w:bottom w:val="single" w:sz="4" w:space="24" w:color="auto"/>
          <w:right w:val="single" w:sz="4" w:space="4" w:color="auto"/>
        </w:pBdr>
        <w:rPr>
          <w:highlight w:val="yellow"/>
        </w:rPr>
      </w:pPr>
      <w:r w:rsidRPr="004C1B98">
        <w:rPr>
          <w:highlight w:val="yellow"/>
        </w:rPr>
        <w:t xml:space="preserve">The Marrickville Infrastructure Jury was at the heart of the Community Consultation Plan. A </w:t>
      </w:r>
      <w:r w:rsidR="009060AD">
        <w:rPr>
          <w:highlight w:val="yellow"/>
        </w:rPr>
        <w:t xml:space="preserve">statistically valid </w:t>
      </w:r>
      <w:r w:rsidRPr="004C1B98">
        <w:rPr>
          <w:highlight w:val="yellow"/>
        </w:rPr>
        <w:t xml:space="preserve">cross section of 30 individuals who live in the Marrickville LGA invested over 40 hours of their time to determine </w:t>
      </w:r>
      <w:r w:rsidR="009060AD">
        <w:rPr>
          <w:highlight w:val="yellow"/>
        </w:rPr>
        <w:t>what they considered a d</w:t>
      </w:r>
      <w:r w:rsidRPr="004C1B98">
        <w:rPr>
          <w:highlight w:val="yellow"/>
        </w:rPr>
        <w:t>esirable level of service for our existing infrastructure asset network. Furthermore, they explored a variety of funding options to fund their desired service level.</w:t>
      </w:r>
    </w:p>
    <w:p w:rsidR="00536D71" w:rsidRPr="004C1B98" w:rsidRDefault="00536D71" w:rsidP="00536D71">
      <w:pPr>
        <w:pStyle w:val="BodyText"/>
        <w:pBdr>
          <w:top w:val="single" w:sz="4" w:space="1" w:color="auto"/>
          <w:left w:val="single" w:sz="4" w:space="4" w:color="auto"/>
          <w:bottom w:val="single" w:sz="4" w:space="24" w:color="auto"/>
          <w:right w:val="single" w:sz="4" w:space="4" w:color="auto"/>
        </w:pBdr>
        <w:rPr>
          <w:rFonts w:cs="Arial"/>
          <w:szCs w:val="22"/>
          <w:highlight w:val="yellow"/>
        </w:rPr>
      </w:pPr>
      <w:r w:rsidRPr="004C1B98">
        <w:rPr>
          <w:rFonts w:cs="Arial"/>
          <w:szCs w:val="22"/>
          <w:highlight w:val="yellow"/>
        </w:rPr>
        <w:t xml:space="preserve">Following Council’s resolution to </w:t>
      </w:r>
      <w:proofErr w:type="gramStart"/>
      <w:r w:rsidRPr="004C1B98">
        <w:rPr>
          <w:rFonts w:cs="Arial"/>
          <w:szCs w:val="22"/>
          <w:highlight w:val="yellow"/>
        </w:rPr>
        <w:t>proceed</w:t>
      </w:r>
      <w:proofErr w:type="gramEnd"/>
      <w:r w:rsidRPr="004C1B98">
        <w:rPr>
          <w:rFonts w:cs="Arial"/>
          <w:szCs w:val="22"/>
          <w:highlight w:val="yellow"/>
        </w:rPr>
        <w:t xml:space="preserve"> to community consultation, council officers put in place a number of systems and processes to inform and engage the broader community. These included</w:t>
      </w:r>
      <w:r w:rsidR="00C93547">
        <w:rPr>
          <w:rFonts w:cs="Arial"/>
          <w:szCs w:val="22"/>
          <w:highlight w:val="yellow"/>
        </w:rPr>
        <w:t>:</w:t>
      </w:r>
    </w:p>
    <w:p w:rsidR="00536D71" w:rsidRPr="004C1B98" w:rsidRDefault="00536D71" w:rsidP="00536D71">
      <w:pPr>
        <w:pStyle w:val="BodyText"/>
        <w:pBdr>
          <w:top w:val="single" w:sz="4" w:space="1" w:color="auto"/>
          <w:left w:val="single" w:sz="4" w:space="4" w:color="auto"/>
          <w:bottom w:val="single" w:sz="4" w:space="24" w:color="auto"/>
          <w:right w:val="single" w:sz="4" w:space="4" w:color="auto"/>
        </w:pBdr>
        <w:rPr>
          <w:rFonts w:cs="Arial"/>
          <w:szCs w:val="22"/>
          <w:highlight w:val="yellow"/>
        </w:rPr>
      </w:pPr>
      <w:r w:rsidRPr="004C1B98">
        <w:rPr>
          <w:rFonts w:ascii="Arial" w:hAnsi="Arial" w:cs="Arial"/>
          <w:highlight w:val="yellow"/>
        </w:rPr>
        <w:t xml:space="preserve">1. </w:t>
      </w:r>
      <w:r w:rsidRPr="004C1B98">
        <w:rPr>
          <w:rFonts w:cs="Arial"/>
          <w:szCs w:val="22"/>
          <w:highlight w:val="yellow"/>
        </w:rPr>
        <w:t>Public Exhibition of amended IP&amp;R documentation that outlined the extent of and need for an SRV including information on the MIJ process</w:t>
      </w:r>
    </w:p>
    <w:p w:rsidR="00536D71" w:rsidRDefault="00536D71" w:rsidP="00536D71">
      <w:pPr>
        <w:pStyle w:val="BodyText"/>
        <w:pBdr>
          <w:top w:val="single" w:sz="4" w:space="1" w:color="auto"/>
          <w:left w:val="single" w:sz="4" w:space="4" w:color="auto"/>
          <w:bottom w:val="single" w:sz="4" w:space="24" w:color="auto"/>
          <w:right w:val="single" w:sz="4" w:space="4" w:color="auto"/>
        </w:pBdr>
        <w:rPr>
          <w:rFonts w:cs="Arial"/>
          <w:szCs w:val="22"/>
        </w:rPr>
      </w:pPr>
      <w:r w:rsidRPr="004C1B98">
        <w:rPr>
          <w:rFonts w:cs="Arial"/>
          <w:szCs w:val="22"/>
          <w:highlight w:val="yellow"/>
        </w:rPr>
        <w:t>2. All public exhibition material being made available to the community online and in locations throughout the LGA, and promoted via</w:t>
      </w:r>
      <w:r w:rsidR="00C93547">
        <w:rPr>
          <w:rFonts w:cs="Arial"/>
          <w:szCs w:val="22"/>
        </w:rPr>
        <w:t>:</w:t>
      </w:r>
    </w:p>
    <w:p w:rsidR="006530F5" w:rsidRPr="00F23466" w:rsidRDefault="006530F5" w:rsidP="00536D71">
      <w:pPr>
        <w:pStyle w:val="BodyText"/>
        <w:pBdr>
          <w:top w:val="single" w:sz="4" w:space="1" w:color="auto"/>
          <w:left w:val="single" w:sz="4" w:space="4" w:color="auto"/>
          <w:bottom w:val="single" w:sz="4" w:space="24" w:color="auto"/>
          <w:right w:val="single" w:sz="4" w:space="4" w:color="auto"/>
        </w:pBdr>
        <w:rPr>
          <w:rFonts w:cs="Arial"/>
          <w:szCs w:val="22"/>
          <w:highlight w:val="yellow"/>
        </w:rPr>
      </w:pPr>
      <w:r>
        <w:rPr>
          <w:rFonts w:cs="Arial"/>
          <w:szCs w:val="22"/>
        </w:rPr>
        <w:t xml:space="preserve"> </w:t>
      </w:r>
      <w:r w:rsidR="00F23466">
        <w:rPr>
          <w:rFonts w:cs="Arial"/>
          <w:szCs w:val="22"/>
        </w:rPr>
        <w:t>a.</w:t>
      </w:r>
      <w:r w:rsidRPr="00F23466">
        <w:rPr>
          <w:rFonts w:cs="Arial"/>
          <w:szCs w:val="22"/>
          <w:highlight w:val="yellow"/>
        </w:rPr>
        <w:t xml:space="preserve"> </w:t>
      </w:r>
      <w:r w:rsidR="00F23466" w:rsidRPr="00F23466">
        <w:rPr>
          <w:rFonts w:cs="Arial"/>
          <w:szCs w:val="22"/>
          <w:highlight w:val="yellow"/>
        </w:rPr>
        <w:t>A</w:t>
      </w:r>
      <w:r w:rsidRPr="00F23466">
        <w:rPr>
          <w:rFonts w:cs="Arial"/>
          <w:szCs w:val="22"/>
          <w:highlight w:val="yellow"/>
        </w:rPr>
        <w:t xml:space="preserve"> dedicated ‘Your Say Marrickville’ project page that included a Q&amp;A tool and a submission form</w:t>
      </w:r>
    </w:p>
    <w:p w:rsidR="006530F5" w:rsidRPr="00F23466" w:rsidRDefault="006530F5" w:rsidP="00536D71">
      <w:pPr>
        <w:pStyle w:val="BodyText"/>
        <w:pBdr>
          <w:top w:val="single" w:sz="4" w:space="1" w:color="auto"/>
          <w:left w:val="single" w:sz="4" w:space="4" w:color="auto"/>
          <w:bottom w:val="single" w:sz="4" w:space="24" w:color="auto"/>
          <w:right w:val="single" w:sz="4" w:space="4" w:color="auto"/>
        </w:pBdr>
        <w:rPr>
          <w:rFonts w:cs="Arial"/>
          <w:szCs w:val="22"/>
          <w:highlight w:val="yellow"/>
        </w:rPr>
      </w:pPr>
      <w:r w:rsidRPr="00F23466">
        <w:rPr>
          <w:rFonts w:cs="Arial"/>
          <w:szCs w:val="22"/>
          <w:highlight w:val="yellow"/>
        </w:rPr>
        <w:t xml:space="preserve"> </w:t>
      </w:r>
      <w:r w:rsidR="00F23466">
        <w:rPr>
          <w:rFonts w:cs="Arial"/>
          <w:szCs w:val="22"/>
          <w:highlight w:val="yellow"/>
        </w:rPr>
        <w:t>b.</w:t>
      </w:r>
      <w:r w:rsidRPr="00F23466">
        <w:rPr>
          <w:rFonts w:cs="Arial"/>
          <w:szCs w:val="22"/>
          <w:highlight w:val="yellow"/>
        </w:rPr>
        <w:t xml:space="preserve"> Council’s website</w:t>
      </w:r>
    </w:p>
    <w:p w:rsidR="006530F5" w:rsidRPr="00F23466" w:rsidRDefault="006530F5" w:rsidP="00536D71">
      <w:pPr>
        <w:pStyle w:val="BodyText"/>
        <w:pBdr>
          <w:top w:val="single" w:sz="4" w:space="1" w:color="auto"/>
          <w:left w:val="single" w:sz="4" w:space="4" w:color="auto"/>
          <w:bottom w:val="single" w:sz="4" w:space="24" w:color="auto"/>
          <w:right w:val="single" w:sz="4" w:space="4" w:color="auto"/>
        </w:pBdr>
        <w:rPr>
          <w:rFonts w:cs="Arial"/>
          <w:szCs w:val="22"/>
          <w:highlight w:val="yellow"/>
        </w:rPr>
      </w:pPr>
      <w:r w:rsidRPr="00F23466">
        <w:rPr>
          <w:rFonts w:cs="Arial"/>
          <w:szCs w:val="22"/>
          <w:highlight w:val="yellow"/>
        </w:rPr>
        <w:t xml:space="preserve"> </w:t>
      </w:r>
      <w:r w:rsidR="00F23466">
        <w:rPr>
          <w:rFonts w:cs="Arial"/>
          <w:szCs w:val="22"/>
          <w:highlight w:val="yellow"/>
        </w:rPr>
        <w:t>c.</w:t>
      </w:r>
      <w:r w:rsidRPr="00F23466">
        <w:rPr>
          <w:rFonts w:cs="Arial"/>
          <w:szCs w:val="22"/>
          <w:highlight w:val="yellow"/>
        </w:rPr>
        <w:t xml:space="preserve"> Brochure – letterbox drop to all households and businesses in the LGA (35,000)</w:t>
      </w:r>
    </w:p>
    <w:p w:rsidR="006530F5" w:rsidRPr="00F23466" w:rsidRDefault="006530F5" w:rsidP="00536D71">
      <w:pPr>
        <w:pStyle w:val="BodyText"/>
        <w:pBdr>
          <w:top w:val="single" w:sz="4" w:space="1" w:color="auto"/>
          <w:left w:val="single" w:sz="4" w:space="4" w:color="auto"/>
          <w:bottom w:val="single" w:sz="4" w:space="24" w:color="auto"/>
          <w:right w:val="single" w:sz="4" w:space="4" w:color="auto"/>
        </w:pBdr>
        <w:rPr>
          <w:rFonts w:cs="Arial"/>
          <w:szCs w:val="22"/>
          <w:highlight w:val="yellow"/>
        </w:rPr>
      </w:pPr>
      <w:r w:rsidRPr="00F23466">
        <w:rPr>
          <w:rFonts w:cs="Arial"/>
          <w:szCs w:val="22"/>
          <w:highlight w:val="yellow"/>
        </w:rPr>
        <w:t xml:space="preserve"> </w:t>
      </w:r>
      <w:proofErr w:type="gramStart"/>
      <w:r w:rsidR="00F23466">
        <w:rPr>
          <w:rFonts w:cs="Arial"/>
          <w:szCs w:val="22"/>
          <w:highlight w:val="yellow"/>
        </w:rPr>
        <w:t>d</w:t>
      </w:r>
      <w:proofErr w:type="gramEnd"/>
      <w:r w:rsidR="00F23466">
        <w:rPr>
          <w:rFonts w:cs="Arial"/>
          <w:szCs w:val="22"/>
          <w:highlight w:val="yellow"/>
        </w:rPr>
        <w:t>.</w:t>
      </w:r>
      <w:r w:rsidRPr="00F23466">
        <w:rPr>
          <w:rFonts w:cs="Arial"/>
          <w:szCs w:val="22"/>
          <w:highlight w:val="yellow"/>
        </w:rPr>
        <w:t xml:space="preserve"> Community Information Session at Council’s Administration Centre on 28 January 2014.</w:t>
      </w:r>
    </w:p>
    <w:p w:rsidR="009060AD" w:rsidRDefault="006530F5" w:rsidP="00536D71">
      <w:pPr>
        <w:pStyle w:val="BodyText"/>
        <w:pBdr>
          <w:top w:val="single" w:sz="4" w:space="1" w:color="auto"/>
          <w:left w:val="single" w:sz="4" w:space="4" w:color="auto"/>
          <w:bottom w:val="single" w:sz="4" w:space="24" w:color="auto"/>
          <w:right w:val="single" w:sz="4" w:space="4" w:color="auto"/>
        </w:pBdr>
        <w:rPr>
          <w:rFonts w:cs="Arial"/>
          <w:szCs w:val="22"/>
        </w:rPr>
      </w:pPr>
      <w:r w:rsidRPr="00F23466">
        <w:rPr>
          <w:rFonts w:cs="Arial"/>
          <w:szCs w:val="22"/>
          <w:highlight w:val="yellow"/>
        </w:rPr>
        <w:t xml:space="preserve"> </w:t>
      </w:r>
      <w:r w:rsidR="00F23466">
        <w:rPr>
          <w:rFonts w:cs="Arial"/>
          <w:szCs w:val="22"/>
          <w:highlight w:val="yellow"/>
        </w:rPr>
        <w:t>e.</w:t>
      </w:r>
      <w:r w:rsidRPr="00F23466">
        <w:rPr>
          <w:rFonts w:cs="Arial"/>
          <w:szCs w:val="22"/>
          <w:highlight w:val="yellow"/>
        </w:rPr>
        <w:t xml:space="preserve"> Displays at Council’s Administration Centre and Marrickville, Stanmore, Dulwich Hill and St Peters Libraries</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t xml:space="preserve"> f. </w:t>
      </w:r>
      <w:r w:rsidRPr="004C1B98">
        <w:rPr>
          <w:rFonts w:cs="Arial"/>
          <w:szCs w:val="22"/>
          <w:highlight w:val="yellow"/>
        </w:rPr>
        <w:t>Posters and flyers at Council facilities including Childcare Centres, Aquatic Centres, Recreation Centre</w:t>
      </w:r>
      <w:r>
        <w:rPr>
          <w:rFonts w:cs="Arial"/>
          <w:szCs w:val="22"/>
        </w:rPr>
        <w:t>s</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lastRenderedPageBreak/>
        <w:t xml:space="preserve"> g. </w:t>
      </w:r>
      <w:r w:rsidRPr="004C1B98">
        <w:rPr>
          <w:rFonts w:cs="Arial"/>
          <w:szCs w:val="22"/>
          <w:highlight w:val="yellow"/>
        </w:rPr>
        <w:t>Posters and flyers distributed through Council’s Magic Yellow Bus service targeting families throughout the LGA</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t xml:space="preserve"> h. </w:t>
      </w:r>
      <w:r w:rsidRPr="004C1B98">
        <w:rPr>
          <w:rFonts w:cs="Arial"/>
          <w:szCs w:val="22"/>
          <w:highlight w:val="yellow"/>
        </w:rPr>
        <w:t>Notification to all of Council’s Advisory Committees and Reference groups</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t xml:space="preserve"> </w:t>
      </w:r>
      <w:proofErr w:type="spellStart"/>
      <w:proofErr w:type="gramStart"/>
      <w:r>
        <w:rPr>
          <w:rFonts w:cs="Arial"/>
          <w:szCs w:val="22"/>
          <w:highlight w:val="yellow"/>
        </w:rPr>
        <w:t>i</w:t>
      </w:r>
      <w:proofErr w:type="spellEnd"/>
      <w:r>
        <w:rPr>
          <w:rFonts w:cs="Arial"/>
          <w:szCs w:val="22"/>
          <w:highlight w:val="yellow"/>
        </w:rPr>
        <w:t xml:space="preserve">. </w:t>
      </w:r>
      <w:r w:rsidRPr="004C1B98">
        <w:rPr>
          <w:rFonts w:cs="Arial"/>
          <w:szCs w:val="22"/>
          <w:highlight w:val="yellow"/>
        </w:rPr>
        <w:t>Mail-out</w:t>
      </w:r>
      <w:proofErr w:type="gramEnd"/>
      <w:r w:rsidRPr="004C1B98">
        <w:rPr>
          <w:rFonts w:cs="Arial"/>
          <w:szCs w:val="22"/>
          <w:highlight w:val="yellow"/>
        </w:rPr>
        <w:t xml:space="preserve"> Brochure to all ratepayers as part of the February Rates Instalment Notice (sent mid-January 2015</w:t>
      </w:r>
      <w:r>
        <w:rPr>
          <w:rFonts w:cs="Arial"/>
          <w:szCs w:val="22"/>
        </w:rPr>
        <w:t>)</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t xml:space="preserve"> j. </w:t>
      </w:r>
      <w:r w:rsidRPr="004C1B98">
        <w:rPr>
          <w:rFonts w:cs="Arial"/>
          <w:szCs w:val="22"/>
          <w:highlight w:val="yellow"/>
        </w:rPr>
        <w:t>Information stall at Council’s Australia Day event in Enmore Park (26 January 2015</w:t>
      </w:r>
      <w:r>
        <w:rPr>
          <w:rFonts w:cs="Arial"/>
          <w:szCs w:val="22"/>
        </w:rPr>
        <w:t>)</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t xml:space="preserve"> k. </w:t>
      </w:r>
      <w:r w:rsidRPr="004C1B98">
        <w:rPr>
          <w:rFonts w:cs="Arial"/>
          <w:szCs w:val="22"/>
          <w:highlight w:val="yellow"/>
        </w:rPr>
        <w:t>Media releases</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t xml:space="preserve"> l. </w:t>
      </w:r>
      <w:r w:rsidRPr="004C1B98">
        <w:rPr>
          <w:rFonts w:cs="Arial"/>
          <w:szCs w:val="22"/>
          <w:highlight w:val="yellow"/>
        </w:rPr>
        <w:t>Social media including Facebook and Twitter</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t xml:space="preserve"> m. </w:t>
      </w:r>
      <w:r w:rsidRPr="004C1B98">
        <w:rPr>
          <w:rFonts w:cs="Arial"/>
          <w:szCs w:val="22"/>
          <w:highlight w:val="yellow"/>
        </w:rPr>
        <w:t>Council’s e-newsletters</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t xml:space="preserve"> n. </w:t>
      </w:r>
      <w:r w:rsidRPr="004C1B98">
        <w:rPr>
          <w:rFonts w:cs="Arial"/>
          <w:szCs w:val="22"/>
          <w:highlight w:val="yellow"/>
        </w:rPr>
        <w:t>Advertising in local newspapers and multicultural press covering Marrickville’s five major community languages: Vietnamese, Greek, Arabic, Chinese and Portuguese.</w:t>
      </w:r>
    </w:p>
    <w:p w:rsidR="00F2346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Pr>
          <w:rFonts w:cs="Arial"/>
          <w:szCs w:val="22"/>
          <w:highlight w:val="yellow"/>
        </w:rPr>
        <w:t xml:space="preserve"> o. </w:t>
      </w:r>
      <w:r w:rsidRPr="004C1B98">
        <w:rPr>
          <w:rFonts w:cs="Arial"/>
          <w:szCs w:val="22"/>
          <w:highlight w:val="yellow"/>
        </w:rPr>
        <w:t>Community submissions were accepted on line through Your Say at Marrickville, by returning the survey questionnaire contained within the Brochure, in writing to Council, or in person at Customer Service</w:t>
      </w:r>
      <w:r>
        <w:rPr>
          <w:rFonts w:cs="Arial"/>
          <w:szCs w:val="22"/>
        </w:rPr>
        <w:t>.</w:t>
      </w:r>
    </w:p>
    <w:p w:rsidR="00F23466" w:rsidRDefault="00F23466" w:rsidP="00536D71">
      <w:pPr>
        <w:pStyle w:val="BodyText"/>
        <w:pBdr>
          <w:top w:val="single" w:sz="4" w:space="1" w:color="auto"/>
          <w:left w:val="single" w:sz="4" w:space="4" w:color="auto"/>
          <w:bottom w:val="single" w:sz="4" w:space="24" w:color="auto"/>
          <w:right w:val="single" w:sz="4" w:space="4" w:color="auto"/>
        </w:pBdr>
      </w:pPr>
      <w:r w:rsidRPr="004C1B98">
        <w:rPr>
          <w:highlight w:val="yellow"/>
        </w:rPr>
        <w:t xml:space="preserve">In addition to the above, Council also commissioned </w:t>
      </w:r>
      <w:proofErr w:type="spellStart"/>
      <w:r w:rsidRPr="004C1B98">
        <w:rPr>
          <w:highlight w:val="yellow"/>
        </w:rPr>
        <w:t>Micromex</w:t>
      </w:r>
      <w:proofErr w:type="spellEnd"/>
      <w:r w:rsidRPr="004C1B98">
        <w:rPr>
          <w:highlight w:val="yellow"/>
        </w:rPr>
        <w:t xml:space="preserve"> to conduct a phone poll of 410 Marrickville residents to ascertain what level of support there might be for the proposed SRV</w:t>
      </w:r>
      <w:r>
        <w:t>.</w:t>
      </w:r>
    </w:p>
    <w:p w:rsidR="00F23466" w:rsidRDefault="00F23466" w:rsidP="00536D71">
      <w:pPr>
        <w:pStyle w:val="BodyText"/>
        <w:pBdr>
          <w:top w:val="single" w:sz="4" w:space="1" w:color="auto"/>
          <w:left w:val="single" w:sz="4" w:space="4" w:color="auto"/>
          <w:bottom w:val="single" w:sz="4" w:space="24" w:color="auto"/>
          <w:right w:val="single" w:sz="4" w:space="4" w:color="auto"/>
        </w:pBdr>
        <w:rPr>
          <w:b/>
          <w:sz w:val="32"/>
          <w:szCs w:val="32"/>
        </w:rPr>
      </w:pPr>
      <w:r w:rsidRPr="004C1B98">
        <w:rPr>
          <w:b/>
          <w:sz w:val="32"/>
          <w:szCs w:val="32"/>
          <w:highlight w:val="yellow"/>
        </w:rPr>
        <w:t>Reference Information</w:t>
      </w:r>
      <w:r>
        <w:rPr>
          <w:b/>
          <w:sz w:val="32"/>
          <w:szCs w:val="32"/>
        </w:rPr>
        <w:t>:</w:t>
      </w:r>
    </w:p>
    <w:p w:rsidR="00F23466" w:rsidRDefault="00F23466" w:rsidP="00536D71">
      <w:pPr>
        <w:pStyle w:val="BodyText"/>
        <w:pBdr>
          <w:top w:val="single" w:sz="4" w:space="1" w:color="auto"/>
          <w:left w:val="single" w:sz="4" w:space="4" w:color="auto"/>
          <w:bottom w:val="single" w:sz="4" w:space="24" w:color="auto"/>
          <w:right w:val="single" w:sz="4" w:space="4" w:color="auto"/>
        </w:pBdr>
        <w:rPr>
          <w:b/>
        </w:rPr>
      </w:pPr>
      <w:r w:rsidRPr="001D6603">
        <w:rPr>
          <w:b/>
          <w:highlight w:val="yellow"/>
          <w:u w:val="single"/>
        </w:rPr>
        <w:t>Marrickville Infrastructure Jury</w:t>
      </w:r>
      <w:r>
        <w:rPr>
          <w:b/>
          <w:highlight w:val="yellow"/>
        </w:rPr>
        <w:t xml:space="preserve"> – links to Videos</w:t>
      </w:r>
    </w:p>
    <w:p w:rsidR="0043388E" w:rsidRDefault="0030767F" w:rsidP="0043388E">
      <w:pPr>
        <w:pStyle w:val="BodyText"/>
        <w:pBdr>
          <w:top w:val="single" w:sz="4" w:space="1" w:color="auto"/>
          <w:left w:val="single" w:sz="4" w:space="4" w:color="auto"/>
          <w:bottom w:val="single" w:sz="4" w:space="24" w:color="auto"/>
          <w:right w:val="single" w:sz="4" w:space="4" w:color="auto"/>
        </w:pBdr>
        <w:rPr>
          <w:rFonts w:cs="Arial"/>
          <w:szCs w:val="22"/>
        </w:rPr>
      </w:pPr>
      <w:hyperlink r:id="rId21" w:history="1">
        <w:r w:rsidR="0043388E" w:rsidRPr="001A74CA">
          <w:rPr>
            <w:rStyle w:val="Hyperlink"/>
            <w:rFonts w:cs="Arial"/>
            <w:szCs w:val="22"/>
          </w:rPr>
          <w:t>http://youtu.be/iMengew0TXk</w:t>
        </w:r>
      </w:hyperlink>
    </w:p>
    <w:p w:rsidR="0043388E" w:rsidRDefault="0030767F" w:rsidP="0043388E">
      <w:pPr>
        <w:pStyle w:val="BodyText"/>
        <w:pBdr>
          <w:top w:val="single" w:sz="4" w:space="1" w:color="auto"/>
          <w:left w:val="single" w:sz="4" w:space="4" w:color="auto"/>
          <w:bottom w:val="single" w:sz="4" w:space="24" w:color="auto"/>
          <w:right w:val="single" w:sz="4" w:space="4" w:color="auto"/>
        </w:pBdr>
        <w:rPr>
          <w:rFonts w:cs="Arial"/>
          <w:szCs w:val="22"/>
        </w:rPr>
      </w:pPr>
      <w:hyperlink r:id="rId22" w:history="1">
        <w:r w:rsidR="006E056D" w:rsidRPr="001A74CA">
          <w:rPr>
            <w:rStyle w:val="Hyperlink"/>
            <w:rFonts w:cs="Arial"/>
            <w:szCs w:val="22"/>
          </w:rPr>
          <w:t>http://youtu.be/TGakUpxyl9Y</w:t>
        </w:r>
      </w:hyperlink>
    </w:p>
    <w:p w:rsidR="00AE1846" w:rsidRDefault="00F23466" w:rsidP="00536D71">
      <w:pPr>
        <w:pStyle w:val="BodyText"/>
        <w:pBdr>
          <w:top w:val="single" w:sz="4" w:space="1" w:color="auto"/>
          <w:left w:val="single" w:sz="4" w:space="4" w:color="auto"/>
          <w:bottom w:val="single" w:sz="4" w:space="24" w:color="auto"/>
          <w:right w:val="single" w:sz="4" w:space="4" w:color="auto"/>
        </w:pBdr>
        <w:rPr>
          <w:rFonts w:cs="Arial"/>
          <w:szCs w:val="22"/>
        </w:rPr>
      </w:pPr>
      <w:r w:rsidRPr="004C1B98">
        <w:rPr>
          <w:b/>
          <w:highlight w:val="yellow"/>
          <w:u w:val="single"/>
        </w:rPr>
        <w:t xml:space="preserve">Community </w:t>
      </w:r>
      <w:r w:rsidR="0065582F">
        <w:rPr>
          <w:b/>
          <w:highlight w:val="yellow"/>
          <w:u w:val="single"/>
        </w:rPr>
        <w:t>Engagement</w:t>
      </w:r>
      <w:r w:rsidRPr="004C1B98">
        <w:rPr>
          <w:b/>
          <w:highlight w:val="yellow"/>
          <w:u w:val="single"/>
        </w:rPr>
        <w:t xml:space="preserve"> Plan </w:t>
      </w:r>
      <w:r w:rsidR="0065582F">
        <w:rPr>
          <w:b/>
          <w:highlight w:val="yellow"/>
          <w:u w:val="single"/>
        </w:rPr>
        <w:t xml:space="preserve">&amp; </w:t>
      </w:r>
      <w:r w:rsidR="00742131">
        <w:rPr>
          <w:b/>
          <w:highlight w:val="yellow"/>
          <w:u w:val="single"/>
        </w:rPr>
        <w:t>Submissions</w:t>
      </w:r>
      <w:r w:rsidR="0065582F">
        <w:rPr>
          <w:b/>
          <w:highlight w:val="yellow"/>
          <w:u w:val="single"/>
        </w:rPr>
        <w:t xml:space="preserve"> </w:t>
      </w:r>
      <w:r w:rsidRPr="004C1B98">
        <w:rPr>
          <w:b/>
          <w:highlight w:val="yellow"/>
          <w:u w:val="single"/>
        </w:rPr>
        <w:t>(</w:t>
      </w:r>
      <w:r w:rsidR="00404786">
        <w:rPr>
          <w:b/>
          <w:highlight w:val="yellow"/>
          <w:u w:val="single"/>
        </w:rPr>
        <w:t>Appendix</w:t>
      </w:r>
      <w:r w:rsidRPr="004C1B98">
        <w:rPr>
          <w:b/>
          <w:highlight w:val="yellow"/>
          <w:u w:val="single"/>
        </w:rPr>
        <w:t xml:space="preserve"> </w:t>
      </w:r>
      <w:r w:rsidR="009328A1">
        <w:rPr>
          <w:b/>
          <w:highlight w:val="yellow"/>
          <w:u w:val="single"/>
        </w:rPr>
        <w:t>0</w:t>
      </w:r>
      <w:r w:rsidR="00AE1846">
        <w:rPr>
          <w:b/>
          <w:highlight w:val="yellow"/>
          <w:u w:val="single"/>
        </w:rPr>
        <w:t>6</w:t>
      </w:r>
      <w:r w:rsidRPr="004C1B98">
        <w:rPr>
          <w:b/>
          <w:highlight w:val="yellow"/>
          <w:u w:val="single"/>
        </w:rPr>
        <w:t>)</w:t>
      </w:r>
    </w:p>
    <w:p w:rsidR="00D60EA5" w:rsidRPr="00A35E66" w:rsidRDefault="00D60EA5" w:rsidP="00D60EA5">
      <w:pPr>
        <w:pStyle w:val="Heading2"/>
      </w:pPr>
      <w:bookmarkStart w:id="25" w:name="_Toc366160413"/>
      <w:bookmarkStart w:id="26" w:name="_Toc401138373"/>
      <w:r w:rsidRPr="00A35E66">
        <w:t>Feedback from the community consultations</w:t>
      </w:r>
      <w:bookmarkEnd w:id="25"/>
      <w:bookmarkEnd w:id="26"/>
    </w:p>
    <w:p w:rsidR="00D60EA5" w:rsidRPr="00A35E66" w:rsidRDefault="00D60EA5" w:rsidP="00D60EA5">
      <w:pPr>
        <w:pStyle w:val="BodyText"/>
      </w:pPr>
      <w:r w:rsidRPr="00A35E66">
        <w:t>S</w:t>
      </w:r>
      <w:r w:rsidR="00D77B17" w:rsidRPr="00A35E66">
        <w:t>ummarise the outcomes and feedback from</w:t>
      </w:r>
      <w:r w:rsidRPr="00A35E66">
        <w:t xml:space="preserve"> </w:t>
      </w:r>
      <w:r w:rsidR="009E7E19" w:rsidRPr="00A35E66">
        <w:t xml:space="preserve">the </w:t>
      </w:r>
      <w:r w:rsidR="00445306" w:rsidRPr="00A35E66">
        <w:t>council’s</w:t>
      </w:r>
      <w:r w:rsidRPr="00A35E66">
        <w:t xml:space="preserve"> community engagement activities. </w:t>
      </w:r>
      <w:r w:rsidR="00D77B17" w:rsidRPr="00A35E66">
        <w:t xml:space="preserve"> O</w:t>
      </w:r>
      <w:r w:rsidRPr="00A35E66">
        <w:t xml:space="preserve">utcomes could include the number of attendees at events and participants in online forums, as well as evidence of media reports and other indicators of public awareness of the council’s </w:t>
      </w:r>
      <w:r w:rsidR="00445306" w:rsidRPr="00A35E66">
        <w:t xml:space="preserve">special variation </w:t>
      </w:r>
      <w:r w:rsidRPr="00A35E66">
        <w:t xml:space="preserve">intentions.  Where applicable, provide evidence of responses to surveys, </w:t>
      </w:r>
      <w:r w:rsidRPr="00A35E66">
        <w:lastRenderedPageBreak/>
        <w:t>particularly the level of support for specific programs or projects, levels and types of services, investment in assets, as well as the options proposed for funding them by rate increases.</w:t>
      </w:r>
    </w:p>
    <w:p w:rsidR="00D60EA5" w:rsidRPr="00A35E66" w:rsidRDefault="00D60EA5" w:rsidP="00D60EA5">
      <w:pPr>
        <w:pStyle w:val="BodyText"/>
      </w:pPr>
      <w:r w:rsidRPr="00A35E66">
        <w:t xml:space="preserve">Where the council has received submissions from the community relevant to the special variation, the application should set out the views expressed in those submissions.  </w:t>
      </w:r>
      <w:r w:rsidR="002D00DA" w:rsidRPr="00A35E66">
        <w:t>Please refer to Section 1.</w:t>
      </w:r>
      <w:r w:rsidR="0078506E" w:rsidRPr="00A35E66">
        <w:t>2</w:t>
      </w:r>
      <w:r w:rsidR="002D00DA" w:rsidRPr="00A35E66">
        <w:t xml:space="preserve"> concerning how the council should handle confidential content in feedback received from the community.</w:t>
      </w:r>
      <w:r w:rsidR="00D66A08" w:rsidRPr="00A35E66">
        <w:t xml:space="preserve">  The council </w:t>
      </w:r>
      <w:r w:rsidRPr="00A35E66">
        <w:t>should also identify and document any action th</w:t>
      </w:r>
      <w:r w:rsidR="00D66A08" w:rsidRPr="00A35E66">
        <w:t xml:space="preserve">at it has </w:t>
      </w:r>
      <w:r w:rsidRPr="00A35E66">
        <w:t>taken, or will take, to address issues of common concern</w:t>
      </w:r>
      <w:r w:rsidR="00D66A08" w:rsidRPr="00A35E66">
        <w:t xml:space="preserve"> within the community</w:t>
      </w:r>
      <w:r w:rsidRPr="00A35E66">
        <w:t>.</w:t>
      </w:r>
      <w:r w:rsidR="00A76397" w:rsidRPr="00A35E66">
        <w:t xml:space="preserve">  </w:t>
      </w:r>
    </w:p>
    <w:p w:rsidR="00134F78" w:rsidRPr="004C1B98" w:rsidRDefault="00134F78" w:rsidP="00DA06D8">
      <w:pPr>
        <w:pStyle w:val="BodyText"/>
        <w:pBdr>
          <w:top w:val="single" w:sz="4" w:space="1" w:color="auto"/>
          <w:left w:val="single" w:sz="4" w:space="4" w:color="auto"/>
          <w:bottom w:val="single" w:sz="4" w:space="1" w:color="auto"/>
          <w:right w:val="single" w:sz="4" w:space="4" w:color="auto"/>
        </w:pBdr>
        <w:rPr>
          <w:rFonts w:cs="Arial"/>
          <w:b/>
          <w:szCs w:val="22"/>
          <w:highlight w:val="yellow"/>
          <w:u w:val="single"/>
        </w:rPr>
      </w:pPr>
      <w:r w:rsidRPr="004C1B98">
        <w:rPr>
          <w:rFonts w:cs="Arial"/>
          <w:b/>
          <w:szCs w:val="22"/>
          <w:highlight w:val="yellow"/>
          <w:u w:val="single"/>
        </w:rPr>
        <w:t>Submissions to Council</w:t>
      </w:r>
    </w:p>
    <w:p w:rsidR="001E2161" w:rsidRPr="004C1B98" w:rsidRDefault="0054672A" w:rsidP="00DA06D8">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rFonts w:cs="Arial"/>
          <w:szCs w:val="22"/>
          <w:highlight w:val="yellow"/>
        </w:rPr>
        <w:t>Council received a total of 1,801 responses, of which 1,506 were postal submissions and 295 were on-line submissions. A summary of the primary questions and responses is outlined below:</w:t>
      </w:r>
    </w:p>
    <w:p w:rsidR="0054672A" w:rsidRPr="004C1B98" w:rsidRDefault="0054672A"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Question 1 – How supportive are you of a SRV of 3% above the rate peg to renew essential infrastructure?</w:t>
      </w:r>
    </w:p>
    <w:p w:rsidR="0054672A" w:rsidRPr="004C1B98" w:rsidRDefault="0054672A" w:rsidP="00DA06D8">
      <w:pPr>
        <w:pStyle w:val="BodyText"/>
        <w:pBdr>
          <w:top w:val="single" w:sz="4" w:space="1" w:color="auto"/>
          <w:left w:val="single" w:sz="4" w:space="4" w:color="auto"/>
          <w:bottom w:val="single" w:sz="4" w:space="1" w:color="auto"/>
          <w:right w:val="single" w:sz="4" w:space="4" w:color="auto"/>
        </w:pBdr>
        <w:rPr>
          <w:rFonts w:cs="Arial"/>
          <w:b/>
          <w:szCs w:val="22"/>
          <w:highlight w:val="yellow"/>
        </w:rPr>
      </w:pPr>
      <w:r w:rsidRPr="004C1B98">
        <w:rPr>
          <w:rFonts w:cs="Arial"/>
          <w:b/>
          <w:szCs w:val="22"/>
          <w:highlight w:val="yellow"/>
        </w:rPr>
        <w:t>Results from the survey submissions indicate that 55% of all respondents are at least “somewhat supportive” of the proposed rate increase versus 45% who are opposed.</w:t>
      </w:r>
    </w:p>
    <w:p w:rsidR="0054672A" w:rsidRPr="004C1B98" w:rsidRDefault="0054672A"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Question 2 – Which do you prefer – a SRV </w:t>
      </w:r>
      <w:r w:rsidR="00134F78" w:rsidRPr="004C1B98">
        <w:rPr>
          <w:highlight w:val="yellow"/>
        </w:rPr>
        <w:t>to</w:t>
      </w:r>
      <w:r w:rsidRPr="004C1B98">
        <w:rPr>
          <w:highlight w:val="yellow"/>
        </w:rPr>
        <w:t xml:space="preserve"> </w:t>
      </w:r>
      <w:r w:rsidR="00134F78" w:rsidRPr="004C1B98">
        <w:rPr>
          <w:highlight w:val="yellow"/>
        </w:rPr>
        <w:t>renew infrastructure</w:t>
      </w:r>
      <w:r w:rsidRPr="004C1B98">
        <w:rPr>
          <w:highlight w:val="yellow"/>
        </w:rPr>
        <w:t xml:space="preserve"> or NO SRV</w:t>
      </w:r>
      <w:r w:rsidR="00134F78" w:rsidRPr="004C1B98">
        <w:rPr>
          <w:highlight w:val="yellow"/>
        </w:rPr>
        <w:t>,</w:t>
      </w:r>
      <w:r w:rsidRPr="004C1B98">
        <w:rPr>
          <w:highlight w:val="yellow"/>
        </w:rPr>
        <w:t xml:space="preserve"> acknowledging a decline in infrastructure would occur</w:t>
      </w:r>
      <w:r w:rsidR="00134F78" w:rsidRPr="004C1B98">
        <w:rPr>
          <w:highlight w:val="yellow"/>
        </w:rPr>
        <w:t>?</w:t>
      </w:r>
    </w:p>
    <w:p w:rsidR="00134F78" w:rsidRPr="004C1B98" w:rsidRDefault="0054672A" w:rsidP="00DA06D8">
      <w:pPr>
        <w:pStyle w:val="BodyText"/>
        <w:pBdr>
          <w:top w:val="single" w:sz="4" w:space="1" w:color="auto"/>
          <w:left w:val="single" w:sz="4" w:space="4" w:color="auto"/>
          <w:bottom w:val="single" w:sz="4" w:space="1" w:color="auto"/>
          <w:right w:val="single" w:sz="4" w:space="4" w:color="auto"/>
        </w:pBdr>
        <w:rPr>
          <w:rFonts w:cs="Arial"/>
          <w:b/>
          <w:szCs w:val="22"/>
          <w:highlight w:val="yellow"/>
        </w:rPr>
      </w:pPr>
      <w:r w:rsidRPr="004C1B98">
        <w:rPr>
          <w:rFonts w:cs="Arial"/>
          <w:b/>
          <w:szCs w:val="22"/>
          <w:highlight w:val="yellow"/>
        </w:rPr>
        <w:t xml:space="preserve">When asked to make a choice between a SRV to renew infrastructure or </w:t>
      </w:r>
      <w:r w:rsidR="00C93547">
        <w:rPr>
          <w:rFonts w:cs="Arial"/>
          <w:b/>
          <w:szCs w:val="22"/>
          <w:highlight w:val="yellow"/>
        </w:rPr>
        <w:t>NO</w:t>
      </w:r>
      <w:r w:rsidRPr="004C1B98">
        <w:rPr>
          <w:rFonts w:cs="Arial"/>
          <w:b/>
          <w:szCs w:val="22"/>
          <w:highlight w:val="yellow"/>
        </w:rPr>
        <w:t xml:space="preserve"> SRV which would result in a decline of infrastructure, 56% of respondents expressed support for the SRV and 44% opposed the SRV</w:t>
      </w:r>
      <w:r w:rsidR="00134F78" w:rsidRPr="004C1B98">
        <w:rPr>
          <w:rFonts w:cs="Arial"/>
          <w:b/>
          <w:szCs w:val="22"/>
          <w:highlight w:val="yellow"/>
        </w:rPr>
        <w:t>.</w:t>
      </w:r>
    </w:p>
    <w:p w:rsidR="00134F78" w:rsidRPr="004C1B98" w:rsidRDefault="00134F78" w:rsidP="00DA06D8">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rFonts w:cs="Arial"/>
          <w:szCs w:val="22"/>
          <w:highlight w:val="yellow"/>
        </w:rPr>
        <w:t>Question 3 – How supportive are you of exempting eligible pensioners from the 3% SRV?</w:t>
      </w:r>
    </w:p>
    <w:p w:rsidR="0054672A" w:rsidRPr="004C1B98" w:rsidRDefault="00134F78" w:rsidP="00DA06D8">
      <w:pPr>
        <w:pStyle w:val="BodyText"/>
        <w:pBdr>
          <w:top w:val="single" w:sz="4" w:space="1" w:color="auto"/>
          <w:left w:val="single" w:sz="4" w:space="4" w:color="auto"/>
          <w:bottom w:val="single" w:sz="4" w:space="1" w:color="auto"/>
          <w:right w:val="single" w:sz="4" w:space="4" w:color="auto"/>
        </w:pBdr>
        <w:rPr>
          <w:b/>
          <w:highlight w:val="yellow"/>
        </w:rPr>
      </w:pPr>
      <w:r w:rsidRPr="004C1B98">
        <w:rPr>
          <w:rFonts w:cs="Arial"/>
          <w:b/>
          <w:szCs w:val="22"/>
          <w:highlight w:val="yellow"/>
        </w:rPr>
        <w:t>Results from the survey submissions indicate 75% of all respondents are at least “somewhat supportive” of exempting eligible pensioners from the proposed 3% SRV. 25% of all respondents were opposed</w:t>
      </w:r>
      <w:r w:rsidR="00C93547">
        <w:rPr>
          <w:rFonts w:cs="Arial"/>
          <w:b/>
          <w:szCs w:val="22"/>
          <w:highlight w:val="yellow"/>
        </w:rPr>
        <w:t>.</w:t>
      </w:r>
      <w:r w:rsidRPr="004C1B98">
        <w:rPr>
          <w:rFonts w:cs="Arial"/>
          <w:b/>
          <w:szCs w:val="22"/>
          <w:highlight w:val="yellow"/>
        </w:rPr>
        <w:t xml:space="preserve"> </w:t>
      </w:r>
      <w:r w:rsidR="0054672A" w:rsidRPr="004C1B98">
        <w:rPr>
          <w:b/>
          <w:highlight w:val="yellow"/>
        </w:rPr>
        <w:t xml:space="preserve"> </w:t>
      </w:r>
    </w:p>
    <w:p w:rsidR="00134F78" w:rsidRPr="004C1B98" w:rsidRDefault="00134F78" w:rsidP="00DA06D8">
      <w:pPr>
        <w:pStyle w:val="BodyText"/>
        <w:pBdr>
          <w:top w:val="single" w:sz="4" w:space="1" w:color="auto"/>
          <w:left w:val="single" w:sz="4" w:space="4" w:color="auto"/>
          <w:bottom w:val="single" w:sz="4" w:space="1" w:color="auto"/>
          <w:right w:val="single" w:sz="4" w:space="4" w:color="auto"/>
        </w:pBdr>
        <w:rPr>
          <w:b/>
          <w:highlight w:val="yellow"/>
          <w:u w:val="single"/>
        </w:rPr>
      </w:pPr>
      <w:r w:rsidRPr="004C1B98">
        <w:rPr>
          <w:b/>
          <w:highlight w:val="yellow"/>
          <w:u w:val="single"/>
        </w:rPr>
        <w:t>Telephone Survey / Poll</w:t>
      </w: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highlight w:val="yellow"/>
        </w:rPr>
        <w:t xml:space="preserve">The same questions were put to 410 residents who participated in the telephone survey/poll. </w:t>
      </w:r>
      <w:r w:rsidRPr="004C1B98">
        <w:rPr>
          <w:rFonts w:cs="Arial"/>
          <w:szCs w:val="22"/>
          <w:highlight w:val="yellow"/>
        </w:rPr>
        <w:t>A summary of the primary questions and responses is outlined below:</w:t>
      </w: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Question 1 – How supportive are you of a SRV of 3% above the rate peg to renew essential infrastructure?</w:t>
      </w: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rFonts w:cs="Arial"/>
          <w:b/>
          <w:szCs w:val="22"/>
          <w:highlight w:val="yellow"/>
        </w:rPr>
      </w:pPr>
      <w:r w:rsidRPr="004C1B98">
        <w:rPr>
          <w:rFonts w:cs="Arial"/>
          <w:b/>
          <w:szCs w:val="22"/>
          <w:highlight w:val="yellow"/>
        </w:rPr>
        <w:lastRenderedPageBreak/>
        <w:t>Results from the telephone survey indicate that 81% of all respondents are at least “somewhat supportive” of the proposed rate increase versus 19% who are opposed.</w:t>
      </w: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Question 2 – Which do you prefer – a SRV to renew infrastructure or NO SRV, acknowledging a decline in infrastructure would occur?</w:t>
      </w: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rFonts w:cs="Arial"/>
          <w:b/>
          <w:szCs w:val="22"/>
          <w:highlight w:val="yellow"/>
        </w:rPr>
      </w:pPr>
      <w:r w:rsidRPr="004C1B98">
        <w:rPr>
          <w:rFonts w:cs="Arial"/>
          <w:b/>
          <w:szCs w:val="22"/>
          <w:highlight w:val="yellow"/>
        </w:rPr>
        <w:t xml:space="preserve">When asked to make a choice between a SRV to renew infrastructure </w:t>
      </w:r>
      <w:proofErr w:type="gramStart"/>
      <w:r w:rsidRPr="004C1B98">
        <w:rPr>
          <w:rFonts w:cs="Arial"/>
          <w:b/>
          <w:szCs w:val="22"/>
          <w:highlight w:val="yellow"/>
        </w:rPr>
        <w:t>or</w:t>
      </w:r>
      <w:proofErr w:type="gramEnd"/>
      <w:r w:rsidRPr="004C1B98">
        <w:rPr>
          <w:rFonts w:cs="Arial"/>
          <w:b/>
          <w:szCs w:val="22"/>
          <w:highlight w:val="yellow"/>
        </w:rPr>
        <w:t xml:space="preserve"> no SRV which would result in a decline of infrastructure, 71% of respondents expressed support for the SRV and 29% opposed the SRV.</w:t>
      </w: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rFonts w:cs="Arial"/>
          <w:szCs w:val="22"/>
          <w:highlight w:val="yellow"/>
        </w:rPr>
      </w:pPr>
      <w:r w:rsidRPr="004C1B98">
        <w:rPr>
          <w:rFonts w:cs="Arial"/>
          <w:szCs w:val="22"/>
          <w:highlight w:val="yellow"/>
        </w:rPr>
        <w:t>Question 3 – How supportive are you of exempting eligible pensioners from the 3% SRV?</w:t>
      </w: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rFonts w:cs="Arial"/>
          <w:b/>
          <w:szCs w:val="22"/>
          <w:highlight w:val="yellow"/>
        </w:rPr>
      </w:pPr>
      <w:r w:rsidRPr="004C1B98">
        <w:rPr>
          <w:rFonts w:cs="Arial"/>
          <w:b/>
          <w:szCs w:val="22"/>
          <w:highlight w:val="yellow"/>
        </w:rPr>
        <w:t>Results from the survey submissions indicate 90% of all respondents are at least “somewhat supportive” of exempting eligible pensioners from the proposed 3% SRV. Only 10% of all respondents were opposed.</w:t>
      </w: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b/>
          <w:highlight w:val="yellow"/>
          <w:u w:val="single"/>
        </w:rPr>
      </w:pPr>
      <w:r w:rsidRPr="004C1B98">
        <w:rPr>
          <w:b/>
          <w:highlight w:val="yellow"/>
          <w:u w:val="single"/>
        </w:rPr>
        <w:t>Petition</w:t>
      </w:r>
      <w:r w:rsidR="00DC1129">
        <w:rPr>
          <w:b/>
          <w:highlight w:val="yellow"/>
          <w:u w:val="single"/>
        </w:rPr>
        <w:t>s</w:t>
      </w: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b/>
          <w:highlight w:val="yellow"/>
        </w:rPr>
      </w:pPr>
      <w:r w:rsidRPr="004C1B98">
        <w:rPr>
          <w:rFonts w:cs="Arial"/>
          <w:szCs w:val="22"/>
          <w:highlight w:val="yellow"/>
        </w:rPr>
        <w:t xml:space="preserve">Council received </w:t>
      </w:r>
      <w:r w:rsidR="00DC1129">
        <w:rPr>
          <w:rFonts w:cs="Arial"/>
          <w:szCs w:val="22"/>
          <w:highlight w:val="yellow"/>
        </w:rPr>
        <w:t>two</w:t>
      </w:r>
      <w:r w:rsidRPr="004C1B98">
        <w:rPr>
          <w:rFonts w:cs="Arial"/>
          <w:szCs w:val="22"/>
          <w:highlight w:val="yellow"/>
        </w:rPr>
        <w:t xml:space="preserve"> petition</w:t>
      </w:r>
      <w:r w:rsidR="00DC1129">
        <w:rPr>
          <w:rFonts w:cs="Arial"/>
          <w:szCs w:val="22"/>
          <w:highlight w:val="yellow"/>
        </w:rPr>
        <w:t>s</w:t>
      </w:r>
      <w:r w:rsidRPr="004C1B98">
        <w:rPr>
          <w:rFonts w:cs="Arial"/>
          <w:szCs w:val="22"/>
          <w:highlight w:val="yellow"/>
        </w:rPr>
        <w:t xml:space="preserve"> containing the names, addresses and signatures of 1,904 people opposed to the proposed rate increase. </w:t>
      </w:r>
      <w:r w:rsidR="007039D1" w:rsidRPr="004C1B98">
        <w:rPr>
          <w:rFonts w:cs="Arial"/>
          <w:szCs w:val="22"/>
          <w:highlight w:val="yellow"/>
        </w:rPr>
        <w:t>A</w:t>
      </w:r>
      <w:r w:rsidR="00DF19E5">
        <w:rPr>
          <w:rFonts w:cs="Arial"/>
          <w:szCs w:val="22"/>
          <w:highlight w:val="yellow"/>
        </w:rPr>
        <w:t>n extract</w:t>
      </w:r>
      <w:r w:rsidR="007039D1" w:rsidRPr="004C1B98">
        <w:rPr>
          <w:rFonts w:cs="Arial"/>
          <w:szCs w:val="22"/>
          <w:highlight w:val="yellow"/>
        </w:rPr>
        <w:t xml:space="preserve"> of the petition is included in the Reference Information (below).</w:t>
      </w:r>
    </w:p>
    <w:p w:rsidR="003860E1" w:rsidRPr="003860E1" w:rsidRDefault="003860E1" w:rsidP="00134F78">
      <w:pPr>
        <w:pStyle w:val="BodyText"/>
        <w:pBdr>
          <w:top w:val="single" w:sz="4" w:space="1" w:color="auto"/>
          <w:left w:val="single" w:sz="4" w:space="4" w:color="auto"/>
          <w:bottom w:val="single" w:sz="4" w:space="1" w:color="auto"/>
          <w:right w:val="single" w:sz="4" w:space="4" w:color="auto"/>
        </w:pBdr>
        <w:rPr>
          <w:b/>
          <w:highlight w:val="yellow"/>
          <w:u w:val="single"/>
        </w:rPr>
      </w:pPr>
      <w:r w:rsidRPr="003860E1">
        <w:rPr>
          <w:b/>
          <w:highlight w:val="yellow"/>
          <w:u w:val="single"/>
        </w:rPr>
        <w:t>Reasons for Supporting or Opposing the proposed SRV</w:t>
      </w:r>
    </w:p>
    <w:p w:rsidR="003860E1" w:rsidRPr="00E6615C" w:rsidRDefault="003860E1" w:rsidP="00134F78">
      <w:pPr>
        <w:pStyle w:val="BodyText"/>
        <w:pBdr>
          <w:top w:val="single" w:sz="4" w:space="1" w:color="auto"/>
          <w:left w:val="single" w:sz="4" w:space="4" w:color="auto"/>
          <w:bottom w:val="single" w:sz="4" w:space="1" w:color="auto"/>
          <w:right w:val="single" w:sz="4" w:space="4" w:color="auto"/>
        </w:pBdr>
        <w:rPr>
          <w:highlight w:val="yellow"/>
        </w:rPr>
      </w:pPr>
      <w:r w:rsidRPr="00E6615C">
        <w:rPr>
          <w:highlight w:val="yellow"/>
        </w:rPr>
        <w:t xml:space="preserve">The major reasons why people support the proposed SRV are because it is good value, investment in assets is important, and that Council is doing a good job that they want continued. The major reasons why people oppose the proposed SRV are because </w:t>
      </w:r>
      <w:r w:rsidR="00972A21" w:rsidRPr="00E6615C">
        <w:rPr>
          <w:highlight w:val="yellow"/>
        </w:rPr>
        <w:t xml:space="preserve">we should live within our means, reprioritise or cut services. People are also opposed because families are already feeling financial pressure and there is a sentiment that Council should be more efficient. </w:t>
      </w:r>
      <w:r w:rsidRPr="00E6615C">
        <w:rPr>
          <w:highlight w:val="yellow"/>
        </w:rPr>
        <w:t xml:space="preserve">  </w:t>
      </w:r>
    </w:p>
    <w:p w:rsidR="003860E1" w:rsidRDefault="003860E1" w:rsidP="00134F78">
      <w:pPr>
        <w:pStyle w:val="BodyText"/>
        <w:pBdr>
          <w:top w:val="single" w:sz="4" w:space="1" w:color="auto"/>
          <w:left w:val="single" w:sz="4" w:space="4" w:color="auto"/>
          <w:bottom w:val="single" w:sz="4" w:space="1" w:color="auto"/>
          <w:right w:val="single" w:sz="4" w:space="4" w:color="auto"/>
        </w:pBdr>
        <w:rPr>
          <w:b/>
          <w:highlight w:val="yellow"/>
        </w:rPr>
      </w:pPr>
    </w:p>
    <w:p w:rsidR="00134F78" w:rsidRPr="004C1B98" w:rsidRDefault="00134F78" w:rsidP="00134F78">
      <w:pPr>
        <w:pStyle w:val="BodyText"/>
        <w:pBdr>
          <w:top w:val="single" w:sz="4" w:space="1" w:color="auto"/>
          <w:left w:val="single" w:sz="4" w:space="4" w:color="auto"/>
          <w:bottom w:val="single" w:sz="4" w:space="1" w:color="auto"/>
          <w:right w:val="single" w:sz="4" w:space="4" w:color="auto"/>
        </w:pBdr>
        <w:rPr>
          <w:b/>
          <w:highlight w:val="yellow"/>
        </w:rPr>
      </w:pPr>
      <w:r w:rsidRPr="004C1B98">
        <w:rPr>
          <w:b/>
          <w:sz w:val="32"/>
          <w:szCs w:val="32"/>
          <w:highlight w:val="yellow"/>
        </w:rPr>
        <w:t>Reference Information</w:t>
      </w:r>
      <w:r w:rsidRPr="004C1B98">
        <w:rPr>
          <w:b/>
          <w:highlight w:val="yellow"/>
        </w:rPr>
        <w:t>:</w:t>
      </w:r>
    </w:p>
    <w:p w:rsidR="00134F78" w:rsidRDefault="00134F78" w:rsidP="00134F78">
      <w:pPr>
        <w:pStyle w:val="BodyText"/>
        <w:pBdr>
          <w:top w:val="single" w:sz="4" w:space="1" w:color="auto"/>
          <w:left w:val="single" w:sz="4" w:space="4" w:color="auto"/>
          <w:bottom w:val="single" w:sz="4" w:space="1" w:color="auto"/>
          <w:right w:val="single" w:sz="4" w:space="4" w:color="auto"/>
        </w:pBdr>
        <w:rPr>
          <w:b/>
          <w:u w:val="single"/>
        </w:rPr>
      </w:pPr>
      <w:r w:rsidRPr="004C1B98">
        <w:rPr>
          <w:b/>
          <w:highlight w:val="yellow"/>
          <w:u w:val="single"/>
        </w:rPr>
        <w:t xml:space="preserve">Community </w:t>
      </w:r>
      <w:r w:rsidR="0065582F">
        <w:rPr>
          <w:b/>
          <w:highlight w:val="yellow"/>
          <w:u w:val="single"/>
        </w:rPr>
        <w:t xml:space="preserve">Engagement Plan &amp; </w:t>
      </w:r>
      <w:r w:rsidR="00742131">
        <w:rPr>
          <w:b/>
          <w:highlight w:val="yellow"/>
          <w:u w:val="single"/>
        </w:rPr>
        <w:t>Submissions</w:t>
      </w:r>
      <w:r w:rsidRPr="004C1B98">
        <w:rPr>
          <w:b/>
          <w:highlight w:val="yellow"/>
          <w:u w:val="single"/>
        </w:rPr>
        <w:t xml:space="preserve"> (</w:t>
      </w:r>
      <w:r w:rsidR="00404786">
        <w:rPr>
          <w:b/>
          <w:highlight w:val="yellow"/>
          <w:u w:val="single"/>
        </w:rPr>
        <w:t>Appendix</w:t>
      </w:r>
      <w:r w:rsidRPr="004C1B98">
        <w:rPr>
          <w:b/>
          <w:highlight w:val="yellow"/>
          <w:u w:val="single"/>
        </w:rPr>
        <w:t xml:space="preserve"> </w:t>
      </w:r>
      <w:r w:rsidR="00B73C51">
        <w:rPr>
          <w:b/>
          <w:highlight w:val="yellow"/>
          <w:u w:val="single"/>
        </w:rPr>
        <w:t>0</w:t>
      </w:r>
      <w:r w:rsidR="00AE1846">
        <w:rPr>
          <w:b/>
          <w:highlight w:val="yellow"/>
          <w:u w:val="single"/>
        </w:rPr>
        <w:t>6</w:t>
      </w:r>
      <w:r w:rsidRPr="004C1B98">
        <w:rPr>
          <w:b/>
          <w:highlight w:val="yellow"/>
          <w:u w:val="single"/>
        </w:rPr>
        <w:t>)</w:t>
      </w:r>
    </w:p>
    <w:p w:rsidR="00A915D0" w:rsidRDefault="00A915D0" w:rsidP="00134F78">
      <w:pPr>
        <w:pStyle w:val="BodyText"/>
        <w:pBdr>
          <w:top w:val="single" w:sz="4" w:space="1" w:color="auto"/>
          <w:left w:val="single" w:sz="4" w:space="4" w:color="auto"/>
          <w:bottom w:val="single" w:sz="4" w:space="1" w:color="auto"/>
          <w:right w:val="single" w:sz="4" w:space="4" w:color="auto"/>
        </w:pBdr>
        <w:rPr>
          <w:b/>
          <w:highlight w:val="yellow"/>
          <w:u w:val="single"/>
        </w:rPr>
      </w:pPr>
      <w:r w:rsidRPr="00A915D0">
        <w:rPr>
          <w:b/>
          <w:highlight w:val="yellow"/>
          <w:u w:val="single"/>
        </w:rPr>
        <w:t xml:space="preserve">Report to Council – SRV Community Consultation </w:t>
      </w:r>
      <w:r w:rsidR="00846445">
        <w:rPr>
          <w:b/>
          <w:highlight w:val="yellow"/>
          <w:u w:val="single"/>
        </w:rPr>
        <w:t>Feedback</w:t>
      </w:r>
      <w:r w:rsidRPr="00A915D0">
        <w:rPr>
          <w:b/>
          <w:highlight w:val="yellow"/>
          <w:u w:val="single"/>
        </w:rPr>
        <w:t xml:space="preserve"> (</w:t>
      </w:r>
      <w:r w:rsidR="00404786">
        <w:rPr>
          <w:b/>
          <w:highlight w:val="yellow"/>
          <w:u w:val="single"/>
        </w:rPr>
        <w:t>Appendix</w:t>
      </w:r>
      <w:r w:rsidRPr="00A915D0">
        <w:rPr>
          <w:b/>
          <w:highlight w:val="yellow"/>
          <w:u w:val="single"/>
        </w:rPr>
        <w:t xml:space="preserve"> </w:t>
      </w:r>
      <w:r w:rsidR="00B73C51">
        <w:rPr>
          <w:b/>
          <w:highlight w:val="yellow"/>
          <w:u w:val="single"/>
        </w:rPr>
        <w:t>0</w:t>
      </w:r>
      <w:r w:rsidR="00AE1846">
        <w:rPr>
          <w:b/>
          <w:highlight w:val="yellow"/>
          <w:u w:val="single"/>
        </w:rPr>
        <w:t>7</w:t>
      </w:r>
      <w:r w:rsidRPr="00A915D0">
        <w:rPr>
          <w:b/>
          <w:highlight w:val="yellow"/>
          <w:u w:val="single"/>
        </w:rPr>
        <w:t>)</w:t>
      </w:r>
    </w:p>
    <w:p w:rsidR="00AE1846" w:rsidRDefault="00AE1846" w:rsidP="00134F78">
      <w:pPr>
        <w:pStyle w:val="BodyText"/>
        <w:pBdr>
          <w:top w:val="single" w:sz="4" w:space="1" w:color="auto"/>
          <w:left w:val="single" w:sz="4" w:space="4" w:color="auto"/>
          <w:bottom w:val="single" w:sz="4" w:space="1" w:color="auto"/>
          <w:right w:val="single" w:sz="4" w:space="4" w:color="auto"/>
        </w:pBdr>
        <w:rPr>
          <w:b/>
          <w:highlight w:val="yellow"/>
          <w:u w:val="single"/>
        </w:rPr>
      </w:pPr>
      <w:r>
        <w:rPr>
          <w:b/>
          <w:highlight w:val="yellow"/>
          <w:u w:val="single"/>
        </w:rPr>
        <w:t>Media Releases, Articles, Fact Sheets &amp; Advertisements (Appendix 08)</w:t>
      </w:r>
    </w:p>
    <w:p w:rsidR="00040E83" w:rsidRPr="00A915D0" w:rsidRDefault="00040E83" w:rsidP="00134F78">
      <w:pPr>
        <w:pStyle w:val="BodyText"/>
        <w:pBdr>
          <w:top w:val="single" w:sz="4" w:space="1" w:color="auto"/>
          <w:left w:val="single" w:sz="4" w:space="4" w:color="auto"/>
          <w:bottom w:val="single" w:sz="4" w:space="1" w:color="auto"/>
          <w:right w:val="single" w:sz="4" w:space="4" w:color="auto"/>
        </w:pBdr>
        <w:rPr>
          <w:b/>
          <w:highlight w:val="yellow"/>
          <w:u w:val="single"/>
        </w:rPr>
      </w:pPr>
      <w:proofErr w:type="spellStart"/>
      <w:r>
        <w:rPr>
          <w:b/>
          <w:highlight w:val="yellow"/>
          <w:u w:val="single"/>
        </w:rPr>
        <w:t>Micromex</w:t>
      </w:r>
      <w:proofErr w:type="spellEnd"/>
      <w:r>
        <w:rPr>
          <w:b/>
          <w:highlight w:val="yellow"/>
          <w:u w:val="single"/>
        </w:rPr>
        <w:t xml:space="preserve"> Telephone Survey Results (</w:t>
      </w:r>
      <w:r w:rsidR="00404786">
        <w:rPr>
          <w:b/>
          <w:highlight w:val="yellow"/>
          <w:u w:val="single"/>
        </w:rPr>
        <w:t>Appendix</w:t>
      </w:r>
      <w:r>
        <w:rPr>
          <w:b/>
          <w:highlight w:val="yellow"/>
          <w:u w:val="single"/>
        </w:rPr>
        <w:t xml:space="preserve"> </w:t>
      </w:r>
      <w:r w:rsidR="00B73C51">
        <w:rPr>
          <w:b/>
          <w:highlight w:val="yellow"/>
          <w:u w:val="single"/>
        </w:rPr>
        <w:t>0</w:t>
      </w:r>
      <w:r w:rsidR="00AE1846">
        <w:rPr>
          <w:b/>
          <w:highlight w:val="yellow"/>
          <w:u w:val="single"/>
        </w:rPr>
        <w:t>9</w:t>
      </w:r>
      <w:r>
        <w:rPr>
          <w:b/>
          <w:highlight w:val="yellow"/>
          <w:u w:val="single"/>
        </w:rPr>
        <w:t>)</w:t>
      </w:r>
    </w:p>
    <w:p w:rsidR="001E2161" w:rsidRDefault="00A915D0" w:rsidP="00DA06D8">
      <w:pPr>
        <w:pStyle w:val="BodyText"/>
        <w:pBdr>
          <w:top w:val="single" w:sz="4" w:space="1" w:color="auto"/>
          <w:left w:val="single" w:sz="4" w:space="4" w:color="auto"/>
          <w:bottom w:val="single" w:sz="4" w:space="1" w:color="auto"/>
          <w:right w:val="single" w:sz="4" w:space="4" w:color="auto"/>
        </w:pBdr>
        <w:rPr>
          <w:b/>
        </w:rPr>
      </w:pPr>
      <w:r w:rsidRPr="00A915D0">
        <w:rPr>
          <w:b/>
          <w:highlight w:val="yellow"/>
          <w:u w:val="single"/>
        </w:rPr>
        <w:t xml:space="preserve">Copy of Petition – </w:t>
      </w:r>
      <w:r w:rsidR="000C253D">
        <w:rPr>
          <w:b/>
          <w:highlight w:val="yellow"/>
          <w:u w:val="single"/>
        </w:rPr>
        <w:t>extract only</w:t>
      </w:r>
      <w:r w:rsidRPr="00A915D0">
        <w:rPr>
          <w:b/>
          <w:highlight w:val="yellow"/>
          <w:u w:val="single"/>
        </w:rPr>
        <w:t xml:space="preserve"> </w:t>
      </w:r>
      <w:r w:rsidR="000C253D">
        <w:rPr>
          <w:b/>
          <w:highlight w:val="yellow"/>
          <w:u w:val="single"/>
        </w:rPr>
        <w:t xml:space="preserve">(CONFIDENTIAL) </w:t>
      </w:r>
      <w:r w:rsidRPr="00A915D0">
        <w:rPr>
          <w:b/>
          <w:highlight w:val="yellow"/>
          <w:u w:val="single"/>
        </w:rPr>
        <w:t>(</w:t>
      </w:r>
      <w:r w:rsidR="00404786">
        <w:rPr>
          <w:b/>
          <w:highlight w:val="yellow"/>
          <w:u w:val="single"/>
        </w:rPr>
        <w:t>Appendix</w:t>
      </w:r>
      <w:r w:rsidRPr="00A915D0">
        <w:rPr>
          <w:b/>
          <w:highlight w:val="yellow"/>
          <w:u w:val="single"/>
        </w:rPr>
        <w:t xml:space="preserve"> </w:t>
      </w:r>
      <w:r w:rsidR="00AE1846">
        <w:rPr>
          <w:b/>
          <w:highlight w:val="yellow"/>
          <w:u w:val="single"/>
        </w:rPr>
        <w:t>10</w:t>
      </w:r>
      <w:r w:rsidRPr="00A915D0">
        <w:rPr>
          <w:b/>
          <w:highlight w:val="yellow"/>
          <w:u w:val="single"/>
        </w:rPr>
        <w:t>)</w:t>
      </w:r>
    </w:p>
    <w:p w:rsidR="000F359C" w:rsidRPr="00A35E66" w:rsidRDefault="000F359C" w:rsidP="000F359C">
      <w:pPr>
        <w:pStyle w:val="Heading1"/>
      </w:pPr>
      <w:bookmarkStart w:id="27" w:name="_Toc401138374"/>
      <w:r w:rsidRPr="00A35E66">
        <w:lastRenderedPageBreak/>
        <w:t>Assessment criterion</w:t>
      </w:r>
      <w:r w:rsidR="00D60EA5" w:rsidRPr="00A35E66">
        <w:t xml:space="preserve"> 3: Impact on ratepayers</w:t>
      </w:r>
      <w:bookmarkEnd w:id="27"/>
    </w:p>
    <w:p w:rsidR="00D60EA5" w:rsidRPr="00A35E66" w:rsidRDefault="00235528" w:rsidP="00D60EA5">
      <w:pPr>
        <w:pStyle w:val="BodyText"/>
        <w:spacing w:after="240"/>
      </w:pPr>
      <w:r w:rsidRPr="00A35E66">
        <w:t xml:space="preserve">Criterion 3 within </w:t>
      </w:r>
      <w:r w:rsidR="00D60EA5" w:rsidRPr="00A35E66">
        <w:t xml:space="preserve">the </w:t>
      </w:r>
      <w:r w:rsidR="00540000" w:rsidRPr="00A35E66">
        <w:t>O</w:t>
      </w:r>
      <w:r w:rsidR="00D60EA5" w:rsidRPr="00A35E66">
        <w:t>LG Guidelines is:</w:t>
      </w:r>
    </w:p>
    <w:p w:rsidR="00634155" w:rsidRPr="00A35E66" w:rsidRDefault="00D60EA5" w:rsidP="00B84AA8">
      <w:pPr>
        <w:pStyle w:val="Quote"/>
        <w:rPr>
          <w:rFonts w:ascii="Arial" w:hAnsi="Arial" w:cs="Arial"/>
          <w:i/>
        </w:rPr>
      </w:pPr>
      <w:r w:rsidRPr="00A35E66">
        <w:rPr>
          <w:rFonts w:ascii="Arial" w:hAnsi="Arial" w:cs="Arial"/>
          <w:i/>
        </w:rPr>
        <w:t xml:space="preserve">The impact on affected ratepayers must be reasonable, having regard to both the current rate levels, existing ratepayer base and the proposed purpose of the variation. </w:t>
      </w:r>
      <w:r w:rsidR="00B84AA8" w:rsidRPr="00A35E66">
        <w:rPr>
          <w:rFonts w:ascii="Arial" w:hAnsi="Arial" w:cs="Arial"/>
          <w:i/>
        </w:rPr>
        <w:t xml:space="preserve"> </w:t>
      </w:r>
      <w:r w:rsidR="00634155" w:rsidRPr="00A35E66">
        <w:rPr>
          <w:rFonts w:ascii="Arial" w:hAnsi="Arial" w:cs="Arial"/>
          <w:i/>
        </w:rPr>
        <w:t>The</w:t>
      </w:r>
      <w:r w:rsidRPr="00A35E66">
        <w:rPr>
          <w:rFonts w:ascii="Arial" w:hAnsi="Arial" w:cs="Arial"/>
          <w:i/>
        </w:rPr>
        <w:t xml:space="preserve"> IP&amp;R process</w:t>
      </w:r>
      <w:r w:rsidR="00634155" w:rsidRPr="00A35E66">
        <w:rPr>
          <w:rFonts w:ascii="Arial" w:hAnsi="Arial" w:cs="Arial"/>
          <w:i/>
        </w:rPr>
        <w:t>es</w:t>
      </w:r>
      <w:r w:rsidRPr="00A35E66">
        <w:rPr>
          <w:rFonts w:ascii="Arial" w:hAnsi="Arial" w:cs="Arial"/>
          <w:i/>
        </w:rPr>
        <w:t xml:space="preserve"> should</w:t>
      </w:r>
      <w:r w:rsidR="00634155" w:rsidRPr="00A35E66">
        <w:rPr>
          <w:rFonts w:ascii="Arial" w:hAnsi="Arial" w:cs="Arial"/>
          <w:i/>
        </w:rPr>
        <w:t>:</w:t>
      </w:r>
    </w:p>
    <w:p w:rsidR="00634155" w:rsidRPr="00A35E66" w:rsidRDefault="00634155" w:rsidP="0071760B">
      <w:pPr>
        <w:pStyle w:val="QuoteBullet"/>
        <w:rPr>
          <w:rFonts w:ascii="Arial" w:hAnsi="Arial" w:cs="Arial"/>
          <w:i/>
        </w:rPr>
      </w:pPr>
      <w:r w:rsidRPr="00A35E66">
        <w:rPr>
          <w:rFonts w:ascii="Arial" w:hAnsi="Arial" w:cs="Arial"/>
          <w:i/>
        </w:rPr>
        <w:t>clearly show the impact of any rises upon the community</w:t>
      </w:r>
    </w:p>
    <w:p w:rsidR="00634155" w:rsidRPr="00A35E66" w:rsidRDefault="00634155" w:rsidP="0071760B">
      <w:pPr>
        <w:pStyle w:val="QuoteBullet"/>
        <w:rPr>
          <w:rFonts w:ascii="Arial" w:hAnsi="Arial" w:cs="Arial"/>
          <w:i/>
        </w:rPr>
      </w:pPr>
      <w:r w:rsidRPr="00A35E66">
        <w:rPr>
          <w:rFonts w:ascii="Arial" w:hAnsi="Arial" w:cs="Arial"/>
          <w:i/>
        </w:rPr>
        <w:t>include the council’s consideration of the community’s capacity and willingness to pay rates and</w:t>
      </w:r>
    </w:p>
    <w:p w:rsidR="00D60EA5" w:rsidRPr="00A35E66" w:rsidRDefault="00634155" w:rsidP="0071760B">
      <w:pPr>
        <w:pStyle w:val="QuoteBullet"/>
        <w:rPr>
          <w:rFonts w:ascii="Arial" w:hAnsi="Arial" w:cs="Arial"/>
          <w:i/>
        </w:rPr>
      </w:pPr>
      <w:proofErr w:type="gramStart"/>
      <w:r w:rsidRPr="00A35E66">
        <w:rPr>
          <w:rFonts w:ascii="Arial" w:hAnsi="Arial" w:cs="Arial"/>
          <w:i/>
        </w:rPr>
        <w:t>establish</w:t>
      </w:r>
      <w:proofErr w:type="gramEnd"/>
      <w:r w:rsidRPr="00A35E66">
        <w:rPr>
          <w:rFonts w:ascii="Arial" w:hAnsi="Arial" w:cs="Arial"/>
          <w:i/>
        </w:rPr>
        <w:t xml:space="preserve"> that the proposed rate increases are affordable having regard to the local community’s capacity to pay.</w:t>
      </w:r>
    </w:p>
    <w:p w:rsidR="00D60EA5" w:rsidRPr="00A35E66" w:rsidRDefault="009E7E19" w:rsidP="00D60EA5">
      <w:pPr>
        <w:pStyle w:val="BodyText"/>
      </w:pPr>
      <w:r w:rsidRPr="00A35E66">
        <w:t>T</w:t>
      </w:r>
      <w:r w:rsidR="00D60EA5" w:rsidRPr="00A35E66">
        <w:t xml:space="preserve">he impact of the council’s proposed special variation </w:t>
      </w:r>
      <w:r w:rsidRPr="00A35E66">
        <w:t>on ratepayers must be</w:t>
      </w:r>
      <w:r w:rsidR="00D60EA5" w:rsidRPr="00A35E66">
        <w:t xml:space="preserve"> reasonable.  To do this, we take into account current rate levels, the existing ratepayer base and the purpose of the special variation.  We also </w:t>
      </w:r>
      <w:r w:rsidR="00A76397" w:rsidRPr="00A35E66">
        <w:t xml:space="preserve">review </w:t>
      </w:r>
      <w:r w:rsidR="00883F6E" w:rsidRPr="00A35E66">
        <w:t xml:space="preserve">how </w:t>
      </w:r>
      <w:r w:rsidR="00D60EA5" w:rsidRPr="00A35E66">
        <w:t>the council’s IP&amp;R process</w:t>
      </w:r>
      <w:r w:rsidR="002C26DA" w:rsidRPr="00A35E66">
        <w:t>es</w:t>
      </w:r>
      <w:r w:rsidR="00D60EA5" w:rsidRPr="00A35E66">
        <w:t xml:space="preserve"> </w:t>
      </w:r>
      <w:r w:rsidR="00A76397" w:rsidRPr="00A35E66">
        <w:t xml:space="preserve">have </w:t>
      </w:r>
      <w:r w:rsidR="00883F6E" w:rsidRPr="00A35E66">
        <w:t xml:space="preserve">assessed whether </w:t>
      </w:r>
      <w:r w:rsidR="00D60EA5" w:rsidRPr="00A35E66">
        <w:t>that the proposed rate rises</w:t>
      </w:r>
      <w:r w:rsidR="002E3E66" w:rsidRPr="00A35E66">
        <w:t xml:space="preserve"> are affordable having regard to the community’s capacity </w:t>
      </w:r>
      <w:r w:rsidR="001F1E22" w:rsidRPr="00A35E66">
        <w:t xml:space="preserve">and willingness </w:t>
      </w:r>
      <w:r w:rsidR="002E3E66" w:rsidRPr="00A35E66">
        <w:t>to pay</w:t>
      </w:r>
      <w:r w:rsidR="00D60EA5" w:rsidRPr="00A35E66">
        <w:t>.</w:t>
      </w:r>
    </w:p>
    <w:p w:rsidR="00D60EA5" w:rsidRPr="00A35E66" w:rsidRDefault="00D60EA5" w:rsidP="00D60EA5">
      <w:pPr>
        <w:pStyle w:val="Heading2"/>
      </w:pPr>
      <w:bookmarkStart w:id="28" w:name="_Toc366160417"/>
      <w:bookmarkStart w:id="29" w:name="_Toc401138375"/>
      <w:r w:rsidRPr="00A35E66">
        <w:t>Impact on rates</w:t>
      </w:r>
      <w:bookmarkEnd w:id="28"/>
      <w:bookmarkEnd w:id="29"/>
    </w:p>
    <w:p w:rsidR="00D60EA5" w:rsidRPr="00A35E66" w:rsidRDefault="00D60EA5" w:rsidP="00D60EA5">
      <w:pPr>
        <w:pStyle w:val="BodyText"/>
      </w:pPr>
      <w:r w:rsidRPr="00A35E66">
        <w:t xml:space="preserve">Much of the quantitative information we need on the impact of the special variation on </w:t>
      </w:r>
      <w:r w:rsidR="00510428" w:rsidRPr="00A35E66">
        <w:t xml:space="preserve">(General Fund) </w:t>
      </w:r>
      <w:r w:rsidRPr="00A35E66">
        <w:t xml:space="preserve">rate levels will already be contained in Worksheet </w:t>
      </w:r>
      <w:r w:rsidR="00B84AA8" w:rsidRPr="00A35E66">
        <w:t>5</w:t>
      </w:r>
      <w:r w:rsidR="001F1E22" w:rsidRPr="00A35E66">
        <w:t>a and 5b</w:t>
      </w:r>
      <w:r w:rsidR="00B84AA8" w:rsidRPr="00A35E66">
        <w:t xml:space="preserve"> of Part A of the application.</w:t>
      </w:r>
    </w:p>
    <w:p w:rsidR="00D60EA5" w:rsidRPr="00A35E66" w:rsidRDefault="00D60EA5" w:rsidP="00D60EA5">
      <w:pPr>
        <w:pStyle w:val="BodyText"/>
      </w:pPr>
      <w:r w:rsidRPr="00A35E66">
        <w:t>To assist us further, the application should set out the rating structure under the proposed special variation, and how this</w:t>
      </w:r>
      <w:r w:rsidR="006A1B80" w:rsidRPr="00A35E66">
        <w:t xml:space="preserve"> may differ</w:t>
      </w:r>
      <w:r w:rsidRPr="00A35E66">
        <w:t xml:space="preserve"> from the current rating structure, </w:t>
      </w:r>
      <w:r w:rsidR="006A1B80" w:rsidRPr="00A35E66">
        <w:t xml:space="preserve">or that </w:t>
      </w:r>
      <w:r w:rsidRPr="00A35E66">
        <w:t>which would apply if the spec</w:t>
      </w:r>
      <w:r w:rsidR="00B84AA8" w:rsidRPr="00A35E66">
        <w:t>ial variation is not approved.</w:t>
      </w:r>
    </w:p>
    <w:p w:rsidR="00D60EA5" w:rsidRPr="00A35E66" w:rsidRDefault="00D60EA5" w:rsidP="00B84AA8">
      <w:pPr>
        <w:pStyle w:val="BodyText"/>
        <w:keepNext/>
        <w:keepLines/>
      </w:pPr>
      <w:r w:rsidRPr="00A35E66">
        <w:t xml:space="preserve">We recognise that a council may choose to apply an increase differentially among categories of ratepayers.  </w:t>
      </w:r>
      <w:r w:rsidR="00A52804" w:rsidRPr="00A35E66">
        <w:t>If so</w:t>
      </w:r>
      <w:r w:rsidRPr="00A35E66">
        <w:t>, you should explain the rationale for applying the increase differentially among different categories and/or subcategories of ratepayers.  This will be relevant to our assessment of the reasonableness of the impact on ratepayers.</w:t>
      </w:r>
    </w:p>
    <w:p w:rsidR="006A1B80" w:rsidRPr="00A35E66" w:rsidRDefault="006A1B80" w:rsidP="00B84AA8">
      <w:pPr>
        <w:pStyle w:val="BodyText"/>
        <w:keepNext/>
        <w:keepLines/>
      </w:pPr>
      <w:r w:rsidRPr="00A35E66">
        <w:t xml:space="preserve">Councils should also indicate the impact of any </w:t>
      </w:r>
      <w:r w:rsidR="00883F6E" w:rsidRPr="00A35E66">
        <w:t xml:space="preserve">other </w:t>
      </w:r>
      <w:r w:rsidR="00F834EE" w:rsidRPr="00A35E66">
        <w:t xml:space="preserve">anticipated </w:t>
      </w:r>
      <w:r w:rsidRPr="00A35E66">
        <w:t xml:space="preserve">changes </w:t>
      </w:r>
      <w:r w:rsidR="00C774B5" w:rsidRPr="00A35E66">
        <w:t xml:space="preserve">in </w:t>
      </w:r>
      <w:r w:rsidR="00F834EE" w:rsidRPr="00A35E66">
        <w:t xml:space="preserve">the </w:t>
      </w:r>
      <w:r w:rsidR="00C774B5" w:rsidRPr="00A35E66">
        <w:t>rating structure</w:t>
      </w:r>
      <w:r w:rsidRPr="00A35E66">
        <w:t>.</w:t>
      </w:r>
    </w:p>
    <w:p w:rsidR="00D60EA5" w:rsidRPr="004C1B98" w:rsidRDefault="00801991" w:rsidP="00DA06D8">
      <w:pPr>
        <w:pStyle w:val="BodyText"/>
        <w:pBdr>
          <w:top w:val="single" w:sz="4" w:space="1" w:color="auto"/>
          <w:left w:val="single" w:sz="4" w:space="4" w:color="auto"/>
          <w:bottom w:val="single" w:sz="4" w:space="1" w:color="auto"/>
          <w:right w:val="single" w:sz="4" w:space="4" w:color="auto"/>
        </w:pBdr>
        <w:rPr>
          <w:b/>
          <w:highlight w:val="yellow"/>
          <w:u w:val="single"/>
        </w:rPr>
      </w:pPr>
      <w:r w:rsidRPr="004C1B98">
        <w:rPr>
          <w:b/>
          <w:highlight w:val="yellow"/>
          <w:u w:val="single"/>
        </w:rPr>
        <w:t>Rating Structure</w:t>
      </w:r>
    </w:p>
    <w:p w:rsidR="0004459E" w:rsidRPr="004C1B98" w:rsidRDefault="00801991"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Council has a rating structure that comprises Minimum Rates and a</w:t>
      </w:r>
      <w:r w:rsidR="00C77DFE">
        <w:rPr>
          <w:highlight w:val="yellow"/>
        </w:rPr>
        <w:t>n</w:t>
      </w:r>
      <w:r w:rsidRPr="004C1B98">
        <w:rPr>
          <w:highlight w:val="yellow"/>
        </w:rPr>
        <w:t xml:space="preserve"> Ad Valorem Rate (rate in the $). In terms of rating mix, residents comprise </w:t>
      </w:r>
      <w:r w:rsidR="00C77DFE">
        <w:rPr>
          <w:highlight w:val="yellow"/>
        </w:rPr>
        <w:t xml:space="preserve">approximately </w:t>
      </w:r>
      <w:r w:rsidRPr="004C1B98">
        <w:rPr>
          <w:highlight w:val="yellow"/>
        </w:rPr>
        <w:t>90% of all ratepay</w:t>
      </w:r>
      <w:r w:rsidR="0004459E" w:rsidRPr="004C1B98">
        <w:rPr>
          <w:highlight w:val="yellow"/>
        </w:rPr>
        <w:t>e</w:t>
      </w:r>
      <w:r w:rsidRPr="004C1B98">
        <w:rPr>
          <w:highlight w:val="yellow"/>
        </w:rPr>
        <w:t>rs in the LGA</w:t>
      </w:r>
      <w:r w:rsidR="0004459E" w:rsidRPr="004C1B98">
        <w:rPr>
          <w:highlight w:val="yellow"/>
        </w:rPr>
        <w:t xml:space="preserve"> and contribute approximately 60% of total rate revenue. Businesses comprise </w:t>
      </w:r>
      <w:r w:rsidR="00C77DFE">
        <w:rPr>
          <w:highlight w:val="yellow"/>
        </w:rPr>
        <w:t xml:space="preserve">approximately </w:t>
      </w:r>
      <w:r w:rsidR="0004459E" w:rsidRPr="004C1B98">
        <w:rPr>
          <w:highlight w:val="yellow"/>
        </w:rPr>
        <w:t>10% of all ratepayers in the LGA and contribute almost 40% of total rate revenue.</w:t>
      </w:r>
    </w:p>
    <w:p w:rsidR="00DC165C" w:rsidRPr="004C1B98" w:rsidRDefault="0004459E"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lastRenderedPageBreak/>
        <w:t xml:space="preserve">This rating structure and rating mix </w:t>
      </w:r>
      <w:r w:rsidR="001C2B06" w:rsidRPr="001C2B06">
        <w:rPr>
          <w:highlight w:val="yellow"/>
          <w:u w:val="single"/>
        </w:rPr>
        <w:t>is not</w:t>
      </w:r>
      <w:r w:rsidR="001C2B06">
        <w:rPr>
          <w:highlight w:val="yellow"/>
        </w:rPr>
        <w:t xml:space="preserve"> proposed to </w:t>
      </w:r>
      <w:r w:rsidRPr="004C1B98">
        <w:rPr>
          <w:highlight w:val="yellow"/>
        </w:rPr>
        <w:t xml:space="preserve">change as a result of the proposed </w:t>
      </w:r>
      <w:r w:rsidR="00DC165C" w:rsidRPr="004C1B98">
        <w:rPr>
          <w:highlight w:val="yellow"/>
        </w:rPr>
        <w:t xml:space="preserve">additional 3% </w:t>
      </w:r>
      <w:r w:rsidRPr="004C1B98">
        <w:rPr>
          <w:highlight w:val="yellow"/>
        </w:rPr>
        <w:t>SRV.</w:t>
      </w:r>
      <w:r w:rsidR="00DC165C" w:rsidRPr="004C1B98">
        <w:rPr>
          <w:highlight w:val="yellow"/>
        </w:rPr>
        <w:t xml:space="preserve"> All ratepayers will be levied in accordance with the systems and structures </w:t>
      </w:r>
      <w:r w:rsidR="001F3BDD">
        <w:rPr>
          <w:highlight w:val="yellow"/>
        </w:rPr>
        <w:t xml:space="preserve">already </w:t>
      </w:r>
      <w:r w:rsidR="00DC165C" w:rsidRPr="004C1B98">
        <w:rPr>
          <w:highlight w:val="yellow"/>
        </w:rPr>
        <w:t>in place</w:t>
      </w:r>
      <w:r w:rsidR="001C2B06">
        <w:rPr>
          <w:highlight w:val="yellow"/>
        </w:rPr>
        <w:t xml:space="preserve"> and adopted by Council</w:t>
      </w:r>
      <w:r w:rsidR="00DC165C" w:rsidRPr="004C1B98">
        <w:rPr>
          <w:highlight w:val="yellow"/>
        </w:rPr>
        <w:t>.</w:t>
      </w:r>
    </w:p>
    <w:p w:rsidR="00EA0238" w:rsidRPr="004C1B98" w:rsidRDefault="00EA0238" w:rsidP="00DA06D8">
      <w:pPr>
        <w:pStyle w:val="BodyText"/>
        <w:pBdr>
          <w:top w:val="single" w:sz="4" w:space="1" w:color="auto"/>
          <w:left w:val="single" w:sz="4" w:space="4" w:color="auto"/>
          <w:bottom w:val="single" w:sz="4" w:space="1" w:color="auto"/>
          <w:right w:val="single" w:sz="4" w:space="4" w:color="auto"/>
        </w:pBdr>
        <w:rPr>
          <w:b/>
          <w:highlight w:val="yellow"/>
          <w:u w:val="single"/>
        </w:rPr>
      </w:pPr>
      <w:r w:rsidRPr="004C1B98">
        <w:rPr>
          <w:b/>
          <w:highlight w:val="yellow"/>
          <w:u w:val="single"/>
        </w:rPr>
        <w:t>Average Residential &amp; Business Rates</w:t>
      </w:r>
    </w:p>
    <w:p w:rsidR="00EA0238" w:rsidRPr="004C1B98" w:rsidRDefault="00A30E9D"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Council published the overall impact of the </w:t>
      </w:r>
      <w:r w:rsidR="001F3BDD">
        <w:rPr>
          <w:highlight w:val="yellow"/>
        </w:rPr>
        <w:t xml:space="preserve">proposed </w:t>
      </w:r>
      <w:r w:rsidRPr="004C1B98">
        <w:rPr>
          <w:highlight w:val="yellow"/>
        </w:rPr>
        <w:t>rate increase on average residential and business rates</w:t>
      </w:r>
      <w:r w:rsidR="00EA0238" w:rsidRPr="004C1B98">
        <w:rPr>
          <w:highlight w:val="yellow"/>
        </w:rPr>
        <w:t>, and compared them to some of our neighbouring Councils</w:t>
      </w:r>
      <w:r w:rsidRPr="004C1B98">
        <w:rPr>
          <w:highlight w:val="yellow"/>
        </w:rPr>
        <w:t>.</w:t>
      </w:r>
      <w:r w:rsidR="00E05E06" w:rsidRPr="004C1B98">
        <w:rPr>
          <w:highlight w:val="yellow"/>
        </w:rPr>
        <w:t xml:space="preserve"> A copy can be found in the ‘Brochure’ sent to all households.</w:t>
      </w:r>
    </w:p>
    <w:p w:rsidR="00786CF6" w:rsidRPr="004C1B98" w:rsidRDefault="00E05E06" w:rsidP="00DA06D8">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Essentially, the average residential rate </w:t>
      </w:r>
      <w:r w:rsidR="00110998" w:rsidRPr="004C1B98">
        <w:rPr>
          <w:highlight w:val="yellow"/>
        </w:rPr>
        <w:t xml:space="preserve">will increase by an additional $25.50 per annum (or 50 cents per week) </w:t>
      </w:r>
      <w:r w:rsidR="001F3BDD">
        <w:rPr>
          <w:highlight w:val="yellow"/>
        </w:rPr>
        <w:t xml:space="preserve">over and </w:t>
      </w:r>
      <w:r w:rsidR="00786CF6" w:rsidRPr="004C1B98">
        <w:rPr>
          <w:highlight w:val="yellow"/>
        </w:rPr>
        <w:t xml:space="preserve">above IPART’s permissible 2.4% rate increase </w:t>
      </w:r>
      <w:r w:rsidR="00110998" w:rsidRPr="004C1B98">
        <w:rPr>
          <w:highlight w:val="yellow"/>
        </w:rPr>
        <w:t>from approximately $87</w:t>
      </w:r>
      <w:r w:rsidR="004900DE" w:rsidRPr="004C1B98">
        <w:rPr>
          <w:highlight w:val="yellow"/>
        </w:rPr>
        <w:t>0</w:t>
      </w:r>
      <w:r w:rsidR="00110998" w:rsidRPr="004C1B98">
        <w:rPr>
          <w:highlight w:val="yellow"/>
        </w:rPr>
        <w:t xml:space="preserve"> per annum to $</w:t>
      </w:r>
      <w:r w:rsidR="004900DE" w:rsidRPr="004C1B98">
        <w:rPr>
          <w:highlight w:val="yellow"/>
        </w:rPr>
        <w:t>896</w:t>
      </w:r>
      <w:r w:rsidR="00110998" w:rsidRPr="004C1B98">
        <w:rPr>
          <w:highlight w:val="yellow"/>
        </w:rPr>
        <w:t xml:space="preserve"> per annum. </w:t>
      </w:r>
    </w:p>
    <w:p w:rsidR="00786CF6" w:rsidRPr="004C1B98" w:rsidRDefault="00786CF6" w:rsidP="00786CF6">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Average Business Rates will increase by an additional $163 per annum (or $3.14 per week) </w:t>
      </w:r>
      <w:r w:rsidR="001F3BDD">
        <w:rPr>
          <w:highlight w:val="yellow"/>
        </w:rPr>
        <w:t xml:space="preserve">over and </w:t>
      </w:r>
      <w:r w:rsidRPr="004C1B98">
        <w:rPr>
          <w:highlight w:val="yellow"/>
        </w:rPr>
        <w:t>above IPART’s permissible 2.4% rate increase from approximately $</w:t>
      </w:r>
      <w:r w:rsidR="004900DE" w:rsidRPr="004C1B98">
        <w:rPr>
          <w:highlight w:val="yellow"/>
        </w:rPr>
        <w:t>5,579</w:t>
      </w:r>
      <w:r w:rsidRPr="004C1B98">
        <w:rPr>
          <w:highlight w:val="yellow"/>
        </w:rPr>
        <w:t xml:space="preserve"> per annum to $</w:t>
      </w:r>
      <w:r w:rsidR="004900DE" w:rsidRPr="004C1B98">
        <w:rPr>
          <w:highlight w:val="yellow"/>
        </w:rPr>
        <w:t>5,742</w:t>
      </w:r>
      <w:r w:rsidRPr="004C1B98">
        <w:rPr>
          <w:highlight w:val="yellow"/>
        </w:rPr>
        <w:t xml:space="preserve"> per annum. </w:t>
      </w:r>
    </w:p>
    <w:p w:rsidR="004900DE" w:rsidRPr="004C1B98" w:rsidRDefault="004900DE" w:rsidP="00786CF6">
      <w:pPr>
        <w:pStyle w:val="BodyText"/>
        <w:pBdr>
          <w:top w:val="single" w:sz="4" w:space="1" w:color="auto"/>
          <w:left w:val="single" w:sz="4" w:space="4" w:color="auto"/>
          <w:bottom w:val="single" w:sz="4" w:space="1" w:color="auto"/>
          <w:right w:val="single" w:sz="4" w:space="4" w:color="auto"/>
        </w:pBdr>
        <w:rPr>
          <w:b/>
          <w:highlight w:val="yellow"/>
          <w:u w:val="single"/>
        </w:rPr>
      </w:pPr>
      <w:r w:rsidRPr="004C1B98">
        <w:rPr>
          <w:b/>
          <w:highlight w:val="yellow"/>
          <w:u w:val="single"/>
        </w:rPr>
        <w:t>Pensioners</w:t>
      </w:r>
    </w:p>
    <w:p w:rsidR="004900DE" w:rsidRPr="004C1B98" w:rsidRDefault="004900DE" w:rsidP="00786CF6">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One of the concerns Council had with the proposed SRV was the impact it would have on Pensioners. One of the questions asked in the survey (both hard-copy survey form a</w:t>
      </w:r>
      <w:r w:rsidR="001E4329" w:rsidRPr="004C1B98">
        <w:rPr>
          <w:highlight w:val="yellow"/>
        </w:rPr>
        <w:t xml:space="preserve">nd telephone poll) was whether there was support for </w:t>
      </w:r>
      <w:r w:rsidR="001E4329" w:rsidRPr="001F3BDD">
        <w:rPr>
          <w:b/>
          <w:highlight w:val="yellow"/>
        </w:rPr>
        <w:t>exempting eligible pensioners</w:t>
      </w:r>
      <w:r w:rsidR="001E4329" w:rsidRPr="004C1B98">
        <w:rPr>
          <w:highlight w:val="yellow"/>
        </w:rPr>
        <w:t xml:space="preserve"> from the proposed 3% SRV. </w:t>
      </w:r>
    </w:p>
    <w:p w:rsidR="001E4329" w:rsidRPr="004C1B98" w:rsidRDefault="001E4329" w:rsidP="00786CF6">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The feedback council received was overwhelming. 75% of people who submitted their survey response stated they were at least ‘somewhat supportive’ of exempting eligible pensioners. In the telephone poll, 90% of respondents stated they were at least ‘somewhat supportive’ of exempting eligible pensioners. </w:t>
      </w:r>
    </w:p>
    <w:p w:rsidR="00A14822" w:rsidRPr="004C1B98" w:rsidRDefault="001E4329" w:rsidP="00786CF6">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 xml:space="preserve">In response to this, Council formally resolved to assist eligible Pensioners by offering a </w:t>
      </w:r>
      <w:r w:rsidR="00063B90" w:rsidRPr="004C1B98">
        <w:rPr>
          <w:b/>
          <w:highlight w:val="yellow"/>
        </w:rPr>
        <w:t>V</w:t>
      </w:r>
      <w:r w:rsidRPr="004C1B98">
        <w:rPr>
          <w:b/>
          <w:highlight w:val="yellow"/>
        </w:rPr>
        <w:t xml:space="preserve">oluntary </w:t>
      </w:r>
      <w:r w:rsidR="00063B90" w:rsidRPr="004C1B98">
        <w:rPr>
          <w:b/>
          <w:highlight w:val="yellow"/>
        </w:rPr>
        <w:t>R</w:t>
      </w:r>
      <w:r w:rsidRPr="004C1B98">
        <w:rPr>
          <w:b/>
          <w:highlight w:val="yellow"/>
        </w:rPr>
        <w:t>ebate</w:t>
      </w:r>
      <w:r w:rsidR="009A233C">
        <w:rPr>
          <w:b/>
          <w:highlight w:val="yellow"/>
        </w:rPr>
        <w:t xml:space="preserve"> of $25.50 per annum</w:t>
      </w:r>
      <w:r w:rsidR="00894FC4" w:rsidRPr="004C1B98">
        <w:rPr>
          <w:highlight w:val="yellow"/>
        </w:rPr>
        <w:t xml:space="preserve">. The amount is fixed and reflects the impact of the additional 3% </w:t>
      </w:r>
      <w:r w:rsidR="00A14822" w:rsidRPr="004C1B98">
        <w:rPr>
          <w:highlight w:val="yellow"/>
        </w:rPr>
        <w:t xml:space="preserve">rate increase </w:t>
      </w:r>
      <w:r w:rsidR="00894FC4" w:rsidRPr="004C1B98">
        <w:rPr>
          <w:highlight w:val="yellow"/>
        </w:rPr>
        <w:t xml:space="preserve">has on average residential rates. </w:t>
      </w:r>
    </w:p>
    <w:p w:rsidR="00A14822" w:rsidRPr="004C1B98" w:rsidRDefault="00894FC4" w:rsidP="00786CF6">
      <w:pPr>
        <w:pStyle w:val="BodyText"/>
        <w:pBdr>
          <w:top w:val="single" w:sz="4" w:space="1" w:color="auto"/>
          <w:left w:val="single" w:sz="4" w:space="4" w:color="auto"/>
          <w:bottom w:val="single" w:sz="4" w:space="1" w:color="auto"/>
          <w:right w:val="single" w:sz="4" w:space="4" w:color="auto"/>
        </w:pBdr>
        <w:rPr>
          <w:highlight w:val="yellow"/>
        </w:rPr>
      </w:pPr>
      <w:r w:rsidRPr="004C1B98">
        <w:rPr>
          <w:highlight w:val="yellow"/>
        </w:rPr>
        <w:t>The rebate will only be offered to eligible pensioners as at 1 July 2015 (</w:t>
      </w:r>
      <w:proofErr w:type="spellStart"/>
      <w:r w:rsidRPr="004C1B98">
        <w:rPr>
          <w:highlight w:val="yellow"/>
        </w:rPr>
        <w:t>ie</w:t>
      </w:r>
      <w:proofErr w:type="spellEnd"/>
      <w:r w:rsidRPr="004C1B98">
        <w:rPr>
          <w:highlight w:val="yellow"/>
        </w:rPr>
        <w:t xml:space="preserve"> people who become eligible pensioners after 1 July 2015 will not be eligible for the rebate)</w:t>
      </w:r>
      <w:r w:rsidR="00A14822" w:rsidRPr="004C1B98">
        <w:rPr>
          <w:highlight w:val="yellow"/>
        </w:rPr>
        <w:t>.</w:t>
      </w:r>
    </w:p>
    <w:p w:rsidR="00063B90" w:rsidRPr="004C1B98" w:rsidRDefault="00063B90" w:rsidP="00063B90">
      <w:pPr>
        <w:pStyle w:val="BodyText"/>
        <w:pBdr>
          <w:top w:val="single" w:sz="4" w:space="1" w:color="auto"/>
          <w:left w:val="single" w:sz="4" w:space="4" w:color="auto"/>
          <w:bottom w:val="single" w:sz="4" w:space="1" w:color="auto"/>
          <w:right w:val="single" w:sz="4" w:space="4" w:color="auto"/>
        </w:pBdr>
        <w:rPr>
          <w:b/>
          <w:highlight w:val="yellow"/>
        </w:rPr>
      </w:pPr>
      <w:r w:rsidRPr="004C1B98">
        <w:rPr>
          <w:b/>
          <w:sz w:val="32"/>
          <w:szCs w:val="32"/>
          <w:highlight w:val="yellow"/>
        </w:rPr>
        <w:t>Reference Information</w:t>
      </w:r>
      <w:r w:rsidRPr="004C1B98">
        <w:rPr>
          <w:b/>
          <w:highlight w:val="yellow"/>
        </w:rPr>
        <w:t>:</w:t>
      </w:r>
    </w:p>
    <w:p w:rsidR="00063B90" w:rsidRPr="005819FE" w:rsidRDefault="005819FE" w:rsidP="00063B90">
      <w:pPr>
        <w:pStyle w:val="BodyText"/>
        <w:pBdr>
          <w:top w:val="single" w:sz="4" w:space="1" w:color="auto"/>
          <w:left w:val="single" w:sz="4" w:space="4" w:color="auto"/>
          <w:bottom w:val="single" w:sz="4" w:space="1" w:color="auto"/>
          <w:right w:val="single" w:sz="4" w:space="4" w:color="auto"/>
        </w:pBdr>
        <w:rPr>
          <w:b/>
          <w:highlight w:val="yellow"/>
          <w:u w:val="single"/>
        </w:rPr>
      </w:pPr>
      <w:r w:rsidRPr="005819FE">
        <w:rPr>
          <w:b/>
          <w:highlight w:val="yellow"/>
          <w:u w:val="single"/>
        </w:rPr>
        <w:t>Rates &amp; Charges – General Policy (</w:t>
      </w:r>
      <w:r w:rsidR="00404786">
        <w:rPr>
          <w:b/>
          <w:highlight w:val="yellow"/>
          <w:u w:val="single"/>
        </w:rPr>
        <w:t>Appendix</w:t>
      </w:r>
      <w:r w:rsidRPr="005819FE">
        <w:rPr>
          <w:b/>
          <w:highlight w:val="yellow"/>
          <w:u w:val="single"/>
        </w:rPr>
        <w:t xml:space="preserve"> </w:t>
      </w:r>
      <w:r w:rsidR="00AE1846">
        <w:rPr>
          <w:b/>
          <w:highlight w:val="yellow"/>
          <w:u w:val="single"/>
        </w:rPr>
        <w:t>11</w:t>
      </w:r>
      <w:r w:rsidRPr="005819FE">
        <w:rPr>
          <w:b/>
          <w:highlight w:val="yellow"/>
          <w:u w:val="single"/>
        </w:rPr>
        <w:t>)</w:t>
      </w:r>
      <w:r w:rsidR="004E6E5B">
        <w:rPr>
          <w:b/>
          <w:highlight w:val="yellow"/>
          <w:u w:val="single"/>
        </w:rPr>
        <w:t xml:space="preserve"> – Within Appendix 24</w:t>
      </w:r>
    </w:p>
    <w:p w:rsidR="00063B90" w:rsidRPr="00A35E66" w:rsidRDefault="00063B90" w:rsidP="00DA06D8">
      <w:pPr>
        <w:pStyle w:val="BodyText"/>
        <w:pBdr>
          <w:top w:val="single" w:sz="4" w:space="1" w:color="auto"/>
          <w:left w:val="single" w:sz="4" w:space="4" w:color="auto"/>
          <w:bottom w:val="single" w:sz="4" w:space="1" w:color="auto"/>
          <w:right w:val="single" w:sz="4" w:space="4" w:color="auto"/>
        </w:pBdr>
      </w:pPr>
      <w:r w:rsidRPr="004C1B98">
        <w:rPr>
          <w:b/>
          <w:highlight w:val="yellow"/>
          <w:u w:val="single"/>
        </w:rPr>
        <w:t>SRV Information Brochure (</w:t>
      </w:r>
      <w:r w:rsidR="00404786">
        <w:rPr>
          <w:b/>
          <w:highlight w:val="yellow"/>
          <w:u w:val="single"/>
        </w:rPr>
        <w:t>Appendix</w:t>
      </w:r>
      <w:r w:rsidRPr="004C1B98">
        <w:rPr>
          <w:b/>
          <w:highlight w:val="yellow"/>
          <w:u w:val="single"/>
        </w:rPr>
        <w:t xml:space="preserve"> </w:t>
      </w:r>
      <w:r w:rsidR="00F20531">
        <w:rPr>
          <w:b/>
          <w:highlight w:val="yellow"/>
          <w:u w:val="single"/>
        </w:rPr>
        <w:t>1</w:t>
      </w:r>
      <w:r w:rsidR="00AE1846">
        <w:rPr>
          <w:b/>
          <w:highlight w:val="yellow"/>
          <w:u w:val="single"/>
        </w:rPr>
        <w:t>2</w:t>
      </w:r>
      <w:r w:rsidRPr="004C1B98">
        <w:rPr>
          <w:b/>
          <w:highlight w:val="yellow"/>
          <w:u w:val="single"/>
        </w:rPr>
        <w:t>)</w:t>
      </w:r>
    </w:p>
    <w:p w:rsidR="00D60EA5" w:rsidRPr="00A35E66" w:rsidRDefault="00D60EA5" w:rsidP="00D60EA5">
      <w:pPr>
        <w:pStyle w:val="Heading3"/>
      </w:pPr>
      <w:r w:rsidRPr="00A35E66">
        <w:lastRenderedPageBreak/>
        <w:t>Minimum Rates</w:t>
      </w:r>
    </w:p>
    <w:p w:rsidR="00D60EA5" w:rsidRPr="00A35E66" w:rsidRDefault="00D60EA5" w:rsidP="00D60EA5">
      <w:pPr>
        <w:pStyle w:val="BodyText"/>
      </w:pPr>
      <w:r w:rsidRPr="00A35E66">
        <w:t>The special variation may affect ordinary rates, special rates and</w:t>
      </w:r>
      <w:r w:rsidR="00F834EE" w:rsidRPr="00A35E66">
        <w:t>/or</w:t>
      </w:r>
      <w:r w:rsidRPr="00A35E66">
        <w:t xml:space="preserve"> minimum rates.</w:t>
      </w:r>
    </w:p>
    <w:p w:rsidR="00B84AA8" w:rsidRPr="00A35E66" w:rsidRDefault="00B84AA8" w:rsidP="00B84AA8">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1701"/>
        <w:gridCol w:w="1242"/>
      </w:tblGrid>
      <w:tr w:rsidR="00B84AA8" w:rsidRPr="00A35E66" w:rsidTr="00B84AA8">
        <w:tc>
          <w:tcPr>
            <w:tcW w:w="5211" w:type="dxa"/>
          </w:tcPr>
          <w:p w:rsidR="00B84AA8" w:rsidRPr="00A35E66" w:rsidRDefault="00B84AA8" w:rsidP="00B84AA8">
            <w:pPr>
              <w:pStyle w:val="TableTextEntries"/>
            </w:pPr>
            <w:r w:rsidRPr="00A35E66">
              <w:t xml:space="preserve">Does the council have </w:t>
            </w:r>
            <w:r w:rsidR="00F834EE" w:rsidRPr="00A35E66">
              <w:t xml:space="preserve">residential </w:t>
            </w:r>
            <w:r w:rsidRPr="00A35E66">
              <w:t>minimum rates?</w:t>
            </w:r>
          </w:p>
        </w:tc>
        <w:tc>
          <w:tcPr>
            <w:tcW w:w="1701" w:type="dxa"/>
          </w:tcPr>
          <w:p w:rsidR="00B84AA8" w:rsidRPr="00A35E66" w:rsidRDefault="00B84AA8" w:rsidP="009465B4">
            <w:pPr>
              <w:pStyle w:val="TableTextEntries"/>
            </w:pPr>
            <w:r w:rsidRPr="00A35E66">
              <w:t xml:space="preserve">Yes </w:t>
            </w:r>
            <w:r w:rsidR="009465B4" w:rsidRPr="00A35E66">
              <w:t>X</w:t>
            </w:r>
            <w:r w:rsidRPr="00A35E66">
              <w:t xml:space="preserve"> </w:t>
            </w:r>
          </w:p>
        </w:tc>
        <w:tc>
          <w:tcPr>
            <w:tcW w:w="1242" w:type="dxa"/>
          </w:tcPr>
          <w:p w:rsidR="00B84AA8" w:rsidRPr="00A35E66" w:rsidRDefault="00B84AA8" w:rsidP="00B84AA8">
            <w:pPr>
              <w:pStyle w:val="TableTextEntries"/>
              <w:rPr>
                <w:rFonts w:ascii="Myriad Pro" w:hAnsi="Myriad Pro"/>
                <w:sz w:val="24"/>
              </w:rPr>
            </w:pPr>
            <w:r w:rsidRPr="00A35E66">
              <w:t xml:space="preserve">No </w:t>
            </w:r>
            <w:r w:rsidR="0030767F" w:rsidRPr="00A35E66">
              <w:fldChar w:fldCharType="begin">
                <w:ffData>
                  <w:name w:val="Check7"/>
                  <w:enabled/>
                  <w:calcOnExit w:val="0"/>
                  <w:checkBox>
                    <w:sizeAuto/>
                    <w:default w:val="0"/>
                  </w:checkBox>
                </w:ffData>
              </w:fldChar>
            </w:r>
            <w:r w:rsidRPr="00A35E66">
              <w:instrText xml:space="preserve"> FORMCHECKBOX </w:instrText>
            </w:r>
            <w:r w:rsidR="0030767F" w:rsidRPr="00A35E66">
              <w:fldChar w:fldCharType="end"/>
            </w:r>
          </w:p>
        </w:tc>
      </w:tr>
    </w:tbl>
    <w:p w:rsidR="009B31B5" w:rsidRPr="00A35E66" w:rsidRDefault="009B31B5" w:rsidP="009B31B5">
      <w:pPr>
        <w:pStyle w:val="TableTextEntries"/>
      </w:pPr>
    </w:p>
    <w:p w:rsidR="002C26DA" w:rsidRPr="00A35E66" w:rsidRDefault="00D60EA5" w:rsidP="009B31B5">
      <w:pPr>
        <w:pStyle w:val="TableTextEntries"/>
      </w:pPr>
      <w:r w:rsidRPr="00A35E66">
        <w:t xml:space="preserve">If </w:t>
      </w:r>
      <w:r w:rsidRPr="00A35E66">
        <w:rPr>
          <w:i/>
        </w:rPr>
        <w:t>Yes</w:t>
      </w:r>
      <w:r w:rsidRPr="00A35E66">
        <w:t xml:space="preserve">, </w:t>
      </w:r>
      <w:r w:rsidR="002C26DA" w:rsidRPr="00A35E66">
        <w:t xml:space="preserve">Does the council propose to increase the minimum </w:t>
      </w:r>
      <w:r w:rsidR="00F834EE" w:rsidRPr="00A35E66">
        <w:t xml:space="preserve">residential </w:t>
      </w:r>
      <w:r w:rsidR="002C26DA" w:rsidRPr="00A35E66">
        <w:t xml:space="preserve">rate </w:t>
      </w:r>
      <w:proofErr w:type="gramStart"/>
      <w:r w:rsidR="002C26DA" w:rsidRPr="00A35E66">
        <w:t>by:</w:t>
      </w:r>
      <w:proofErr w:type="gramEnd"/>
    </w:p>
    <w:p w:rsidR="009B31B5" w:rsidRPr="00A35E66" w:rsidRDefault="009B31B5" w:rsidP="009B31B5">
      <w:pPr>
        <w:pStyle w:val="TableTextEntries"/>
      </w:pPr>
    </w:p>
    <w:p w:rsidR="002C26DA" w:rsidRPr="00A35E66" w:rsidRDefault="002C26DA" w:rsidP="00A76C55">
      <w:pPr>
        <w:pStyle w:val="TableTextEntries"/>
        <w:ind w:firstLine="284"/>
      </w:pPr>
      <w:r w:rsidRPr="00A35E66">
        <w:t xml:space="preserve">The rate peg </w:t>
      </w:r>
      <w:r w:rsidR="00F834EE" w:rsidRPr="00A35E66">
        <w:t>percentage</w:t>
      </w:r>
      <w:r w:rsidR="00DF532D" w:rsidRPr="00A35E66">
        <w:t xml:space="preserve"> </w:t>
      </w:r>
      <w:r w:rsidR="003E24B2">
        <w:t>NO</w:t>
      </w:r>
    </w:p>
    <w:p w:rsidR="002C26DA" w:rsidRPr="00A35E66" w:rsidRDefault="002C26DA" w:rsidP="00A76C55">
      <w:pPr>
        <w:pStyle w:val="TableTextEntries"/>
        <w:ind w:firstLine="284"/>
      </w:pPr>
      <w:r w:rsidRPr="00A35E66">
        <w:t xml:space="preserve">The special variation </w:t>
      </w:r>
      <w:r w:rsidR="00F834EE" w:rsidRPr="00A35E66">
        <w:t>percentage</w:t>
      </w:r>
      <w:r w:rsidRPr="00A35E66">
        <w:t xml:space="preserve"> </w:t>
      </w:r>
      <w:r w:rsidR="003E24B2">
        <w:t>YES</w:t>
      </w:r>
    </w:p>
    <w:p w:rsidR="002C26DA" w:rsidRPr="00A35E66" w:rsidRDefault="00DF532D" w:rsidP="00A76C55">
      <w:pPr>
        <w:pStyle w:val="TableTextEntries"/>
        <w:ind w:firstLine="284"/>
      </w:pPr>
      <w:r w:rsidRPr="00A35E66">
        <w:t xml:space="preserve">Another amount </w:t>
      </w:r>
      <w:r w:rsidR="002C26DA" w:rsidRPr="00A35E66">
        <w:t xml:space="preserve"> </w:t>
      </w:r>
      <w:r w:rsidR="0030767F" w:rsidRPr="00A35E66">
        <w:fldChar w:fldCharType="begin">
          <w:ffData>
            <w:name w:val="Check6"/>
            <w:enabled/>
            <w:calcOnExit w:val="0"/>
            <w:checkBox>
              <w:sizeAuto/>
              <w:default w:val="0"/>
            </w:checkBox>
          </w:ffData>
        </w:fldChar>
      </w:r>
      <w:r w:rsidR="002C26DA" w:rsidRPr="00A35E66">
        <w:instrText xml:space="preserve"> FORMCHECKBOX </w:instrText>
      </w:r>
      <w:r w:rsidR="0030767F" w:rsidRPr="00A35E66">
        <w:fldChar w:fldCharType="end"/>
      </w:r>
      <w:r w:rsidR="00ED5959" w:rsidRPr="00A35E66">
        <w:t xml:space="preserve">   Indicate this amount</w:t>
      </w:r>
      <w:r w:rsidR="009465B4" w:rsidRPr="00A35E66">
        <w:t xml:space="preserve"> N/A</w:t>
      </w:r>
    </w:p>
    <w:p w:rsidR="009B31B5" w:rsidRPr="00A35E66" w:rsidRDefault="009B31B5" w:rsidP="009B31B5">
      <w:pPr>
        <w:pStyle w:val="TableTextEntries"/>
      </w:pPr>
    </w:p>
    <w:p w:rsidR="00C774B5" w:rsidRPr="00077F81" w:rsidRDefault="00C774B5" w:rsidP="00A76C55">
      <w:pPr>
        <w:pStyle w:val="TableTextEntries"/>
        <w:rPr>
          <w:b/>
          <w:sz w:val="24"/>
          <w:szCs w:val="24"/>
        </w:rPr>
      </w:pPr>
      <w:r w:rsidRPr="00A35E66">
        <w:t xml:space="preserve">What will the </w:t>
      </w:r>
      <w:r w:rsidR="00F834EE" w:rsidRPr="00A35E66">
        <w:t xml:space="preserve">residential </w:t>
      </w:r>
      <w:r w:rsidRPr="00A35E66">
        <w:t xml:space="preserve">minimum rate be after the </w:t>
      </w:r>
      <w:r w:rsidR="009465B4" w:rsidRPr="00A35E66">
        <w:t xml:space="preserve">RATE PEG % </w:t>
      </w:r>
      <w:r w:rsidRPr="00A35E66">
        <w:t xml:space="preserve">increase? </w:t>
      </w:r>
      <w:r w:rsidR="00077F81" w:rsidRPr="00077F81">
        <w:rPr>
          <w:b/>
          <w:sz w:val="24"/>
          <w:szCs w:val="24"/>
        </w:rPr>
        <w:t>$637.55</w:t>
      </w:r>
    </w:p>
    <w:p w:rsidR="002C26DA" w:rsidRPr="00A35E66" w:rsidRDefault="00916FAE" w:rsidP="00D60EA5">
      <w:pPr>
        <w:pStyle w:val="BodyText"/>
      </w:pPr>
      <w:r w:rsidRPr="00A35E66">
        <w:t>The council must e</w:t>
      </w:r>
      <w:r w:rsidR="00DF532D" w:rsidRPr="00A35E66">
        <w:t xml:space="preserve">xplain how the proposed special variation will apply to the minimum rate of any ordinary and special rate, and any change to the proportion of ratepayers on the minimum rate for all relevant </w:t>
      </w:r>
      <w:r w:rsidR="00BB67E7" w:rsidRPr="00A35E66">
        <w:t xml:space="preserve">rating </w:t>
      </w:r>
      <w:r w:rsidR="00DF532D" w:rsidRPr="00A35E66">
        <w:t>categories that will occur as a result.</w:t>
      </w:r>
    </w:p>
    <w:p w:rsidR="00D60EA5" w:rsidRPr="00A35E66" w:rsidRDefault="00916FAE" w:rsidP="00D60EA5">
      <w:pPr>
        <w:pStyle w:val="BodyText"/>
      </w:pPr>
      <w:r w:rsidRPr="00A35E66">
        <w:t>You should also e</w:t>
      </w:r>
      <w:r w:rsidR="00D60EA5" w:rsidRPr="00A35E66">
        <w:t>xplain the types of ratepayers</w:t>
      </w:r>
      <w:r w:rsidR="009B31B5" w:rsidRPr="00A35E66">
        <w:t xml:space="preserve"> or properties</w:t>
      </w:r>
      <w:r w:rsidR="00D60EA5" w:rsidRPr="00A35E66">
        <w:t xml:space="preserve"> </w:t>
      </w:r>
      <w:r w:rsidR="009B31B5" w:rsidRPr="00A35E66">
        <w:t xml:space="preserve">currently paying </w:t>
      </w:r>
      <w:r w:rsidR="00D60EA5" w:rsidRPr="00A35E66">
        <w:t xml:space="preserve">minimum rates, and the rationale for the </w:t>
      </w:r>
      <w:r w:rsidR="00971CE1" w:rsidRPr="00A35E66">
        <w:t xml:space="preserve">application </w:t>
      </w:r>
      <w:r w:rsidR="00D60EA5" w:rsidRPr="00A35E66">
        <w:t xml:space="preserve">of the special variation </w:t>
      </w:r>
      <w:r w:rsidR="00D505F9" w:rsidRPr="00A35E66">
        <w:t>t</w:t>
      </w:r>
      <w:r w:rsidR="00D60EA5" w:rsidRPr="00A35E66">
        <w:t>o minimum rate levels.</w:t>
      </w:r>
    </w:p>
    <w:p w:rsidR="00C3530F" w:rsidRDefault="00621A3B" w:rsidP="00DA06D8">
      <w:pPr>
        <w:pStyle w:val="BodyText"/>
        <w:pBdr>
          <w:top w:val="single" w:sz="4" w:space="1" w:color="auto"/>
          <w:left w:val="single" w:sz="4" w:space="4" w:color="auto"/>
          <w:bottom w:val="single" w:sz="4" w:space="1" w:color="auto"/>
          <w:right w:val="single" w:sz="4" w:space="4" w:color="auto"/>
        </w:pBdr>
      </w:pPr>
      <w:r w:rsidRPr="00621A3B">
        <w:rPr>
          <w:highlight w:val="yellow"/>
        </w:rPr>
        <w:t xml:space="preserve">Council is proposing </w:t>
      </w:r>
      <w:r w:rsidR="004A7B5E">
        <w:rPr>
          <w:highlight w:val="yellow"/>
        </w:rPr>
        <w:t xml:space="preserve">to </w:t>
      </w:r>
      <w:r w:rsidRPr="00621A3B">
        <w:rPr>
          <w:highlight w:val="yellow"/>
        </w:rPr>
        <w:t>increas</w:t>
      </w:r>
      <w:r w:rsidR="004A7B5E">
        <w:rPr>
          <w:highlight w:val="yellow"/>
        </w:rPr>
        <w:t>e</w:t>
      </w:r>
      <w:r w:rsidRPr="00621A3B">
        <w:rPr>
          <w:highlight w:val="yellow"/>
        </w:rPr>
        <w:t xml:space="preserve"> the Minimum Rate </w:t>
      </w:r>
      <w:r w:rsidR="00D97776">
        <w:rPr>
          <w:highlight w:val="yellow"/>
        </w:rPr>
        <w:t>by 5.4% from $604.89 in 2014/15 to $637.55 in 2015/16</w:t>
      </w:r>
      <w:r w:rsidR="00D97776">
        <w:t>.</w:t>
      </w:r>
    </w:p>
    <w:p w:rsidR="00D61D95" w:rsidRDefault="00D61D95" w:rsidP="00DA06D8">
      <w:pPr>
        <w:pStyle w:val="BodyText"/>
        <w:pBdr>
          <w:top w:val="single" w:sz="4" w:space="1" w:color="auto"/>
          <w:left w:val="single" w:sz="4" w:space="4" w:color="auto"/>
          <w:bottom w:val="single" w:sz="4" w:space="1" w:color="auto"/>
          <w:right w:val="single" w:sz="4" w:space="4" w:color="auto"/>
        </w:pBdr>
      </w:pPr>
      <w:r w:rsidRPr="00D61D95">
        <w:rPr>
          <w:highlight w:val="yellow"/>
        </w:rPr>
        <w:t xml:space="preserve">Council’s rationale for increasing the Minimum Rate by the proposed SRV is that all ratepayers will benefit from the proposed </w:t>
      </w:r>
      <w:r>
        <w:rPr>
          <w:highlight w:val="yellow"/>
        </w:rPr>
        <w:t xml:space="preserve">infrastructure </w:t>
      </w:r>
      <w:r w:rsidRPr="00D61D95">
        <w:rPr>
          <w:highlight w:val="yellow"/>
        </w:rPr>
        <w:t>asset renewal works.</w:t>
      </w:r>
      <w:r>
        <w:t xml:space="preserve"> </w:t>
      </w:r>
      <w:r w:rsidR="00E10580" w:rsidRPr="00E10580">
        <w:rPr>
          <w:highlight w:val="yellow"/>
        </w:rPr>
        <w:t xml:space="preserve">Infrastructure assets are </w:t>
      </w:r>
      <w:r w:rsidR="001C2B06">
        <w:rPr>
          <w:highlight w:val="yellow"/>
        </w:rPr>
        <w:t xml:space="preserve">considered </w:t>
      </w:r>
      <w:r w:rsidR="00E10580" w:rsidRPr="00E10580">
        <w:rPr>
          <w:highlight w:val="yellow"/>
        </w:rPr>
        <w:t xml:space="preserve">a core public benefit consumed by all ratepayers. At the very least, all ratepayers have access to those infrastructure </w:t>
      </w:r>
      <w:proofErr w:type="gramStart"/>
      <w:r w:rsidR="00E10580" w:rsidRPr="00E10580">
        <w:rPr>
          <w:highlight w:val="yellow"/>
        </w:rPr>
        <w:t>assets.</w:t>
      </w:r>
      <w:proofErr w:type="gramEnd"/>
      <w:r w:rsidR="00E10580">
        <w:t xml:space="preserve">  </w:t>
      </w:r>
    </w:p>
    <w:p w:rsidR="00D97A6A" w:rsidRDefault="00D97776" w:rsidP="00DA06D8">
      <w:pPr>
        <w:pStyle w:val="BodyText"/>
        <w:pBdr>
          <w:top w:val="single" w:sz="4" w:space="1" w:color="auto"/>
          <w:left w:val="single" w:sz="4" w:space="4" w:color="auto"/>
          <w:bottom w:val="single" w:sz="4" w:space="1" w:color="auto"/>
          <w:right w:val="single" w:sz="4" w:space="4" w:color="auto"/>
        </w:pBdr>
      </w:pPr>
      <w:r w:rsidRPr="008C065A">
        <w:rPr>
          <w:highlight w:val="yellow"/>
        </w:rPr>
        <w:t xml:space="preserve">Approximately 40% of all residential ratepayers </w:t>
      </w:r>
      <w:r w:rsidR="00D97A6A" w:rsidRPr="008C065A">
        <w:rPr>
          <w:highlight w:val="yellow"/>
        </w:rPr>
        <w:t xml:space="preserve">currently only </w:t>
      </w:r>
      <w:r w:rsidRPr="008C065A">
        <w:rPr>
          <w:highlight w:val="yellow"/>
        </w:rPr>
        <w:t>pay the Minimum Rate</w:t>
      </w:r>
      <w:r w:rsidR="00D97A6A" w:rsidRPr="008C065A">
        <w:rPr>
          <w:highlight w:val="yellow"/>
        </w:rPr>
        <w:t xml:space="preserve"> of $604.89</w:t>
      </w:r>
      <w:r w:rsidRPr="008C065A">
        <w:rPr>
          <w:highlight w:val="yellow"/>
        </w:rPr>
        <w:t>.</w:t>
      </w:r>
      <w:r w:rsidR="00D97A6A" w:rsidRPr="008C065A">
        <w:rPr>
          <w:highlight w:val="yellow"/>
        </w:rPr>
        <w:t xml:space="preserve"> The other 60% of residential ratepayers pay varying amounts above the Minimum Rate depending on the value of their land. Council is not due for another General Valuation until late 2015 which will not take effect until 1 July 2016. Therefore, the current </w:t>
      </w:r>
      <w:r w:rsidR="008C065A" w:rsidRPr="008C065A">
        <w:rPr>
          <w:highlight w:val="yellow"/>
        </w:rPr>
        <w:t>40% of all residential ratepayers is not expected to shift during 2015/16.</w:t>
      </w:r>
      <w:r w:rsidR="008C065A">
        <w:t xml:space="preserve"> </w:t>
      </w:r>
    </w:p>
    <w:p w:rsidR="008C065A" w:rsidRDefault="007F2711" w:rsidP="00DA06D8">
      <w:pPr>
        <w:pStyle w:val="BodyText"/>
        <w:pBdr>
          <w:top w:val="single" w:sz="4" w:space="1" w:color="auto"/>
          <w:left w:val="single" w:sz="4" w:space="4" w:color="auto"/>
          <w:bottom w:val="single" w:sz="4" w:space="1" w:color="auto"/>
          <w:right w:val="single" w:sz="4" w:space="4" w:color="auto"/>
        </w:pBdr>
      </w:pPr>
      <w:r w:rsidRPr="00D61D95">
        <w:rPr>
          <w:highlight w:val="yellow"/>
        </w:rPr>
        <w:t>Council charges Minimum Rates to all residential properties valued (land value only) at less than $287,901. Typically, this would include apartments</w:t>
      </w:r>
      <w:r w:rsidR="00D61D95" w:rsidRPr="00D61D95">
        <w:rPr>
          <w:highlight w:val="yellow"/>
        </w:rPr>
        <w:t xml:space="preserve"> and homes (including dual occupancies) on very small blocks of land</w:t>
      </w:r>
      <w:r w:rsidRPr="00D61D95">
        <w:rPr>
          <w:highlight w:val="yellow"/>
        </w:rPr>
        <w:t>.</w:t>
      </w:r>
      <w:r w:rsidR="00D61D95">
        <w:t xml:space="preserve"> </w:t>
      </w:r>
      <w:r>
        <w:t xml:space="preserve"> </w:t>
      </w:r>
    </w:p>
    <w:p w:rsidR="008C065A" w:rsidRDefault="008C065A" w:rsidP="00DA06D8">
      <w:pPr>
        <w:pStyle w:val="BodyText"/>
        <w:pBdr>
          <w:top w:val="single" w:sz="4" w:space="1" w:color="auto"/>
          <w:left w:val="single" w:sz="4" w:space="4" w:color="auto"/>
          <w:bottom w:val="single" w:sz="4" w:space="1" w:color="auto"/>
          <w:right w:val="single" w:sz="4" w:space="4" w:color="auto"/>
        </w:pBdr>
      </w:pPr>
      <w:r w:rsidRPr="008C065A">
        <w:rPr>
          <w:highlight w:val="yellow"/>
        </w:rPr>
        <w:t xml:space="preserve">Businesses do not pay Minimum Rates. The rates received from businesses </w:t>
      </w:r>
      <w:r>
        <w:rPr>
          <w:highlight w:val="yellow"/>
        </w:rPr>
        <w:t>are</w:t>
      </w:r>
      <w:r w:rsidRPr="008C065A">
        <w:rPr>
          <w:highlight w:val="yellow"/>
        </w:rPr>
        <w:t xml:space="preserve"> based purely on the land value.</w:t>
      </w:r>
    </w:p>
    <w:p w:rsidR="00611526" w:rsidRDefault="00611526" w:rsidP="00DA06D8">
      <w:pPr>
        <w:pStyle w:val="BodyText"/>
        <w:pBdr>
          <w:top w:val="single" w:sz="4" w:space="1" w:color="auto"/>
          <w:left w:val="single" w:sz="4" w:space="4" w:color="auto"/>
          <w:bottom w:val="single" w:sz="4" w:space="1" w:color="auto"/>
          <w:right w:val="single" w:sz="4" w:space="4" w:color="auto"/>
        </w:pBdr>
      </w:pPr>
    </w:p>
    <w:p w:rsidR="00E10580" w:rsidRPr="004C1B98" w:rsidRDefault="00E10580" w:rsidP="00E10580">
      <w:pPr>
        <w:pStyle w:val="BodyText"/>
        <w:pBdr>
          <w:top w:val="single" w:sz="4" w:space="1" w:color="auto"/>
          <w:left w:val="single" w:sz="4" w:space="4" w:color="auto"/>
          <w:bottom w:val="single" w:sz="4" w:space="1" w:color="auto"/>
          <w:right w:val="single" w:sz="4" w:space="4" w:color="auto"/>
        </w:pBdr>
        <w:rPr>
          <w:b/>
          <w:highlight w:val="yellow"/>
        </w:rPr>
      </w:pPr>
      <w:r w:rsidRPr="004C1B98">
        <w:rPr>
          <w:b/>
          <w:sz w:val="32"/>
          <w:szCs w:val="32"/>
          <w:highlight w:val="yellow"/>
        </w:rPr>
        <w:lastRenderedPageBreak/>
        <w:t>Reference Information</w:t>
      </w:r>
      <w:r w:rsidRPr="004C1B98">
        <w:rPr>
          <w:b/>
          <w:highlight w:val="yellow"/>
        </w:rPr>
        <w:t>:</w:t>
      </w:r>
    </w:p>
    <w:p w:rsidR="003E24B2" w:rsidRPr="004E6E5B" w:rsidRDefault="00E10580" w:rsidP="00DA06D8">
      <w:pPr>
        <w:pStyle w:val="BodyText"/>
        <w:pBdr>
          <w:top w:val="single" w:sz="4" w:space="1" w:color="auto"/>
          <w:left w:val="single" w:sz="4" w:space="4" w:color="auto"/>
          <w:bottom w:val="single" w:sz="4" w:space="1" w:color="auto"/>
          <w:right w:val="single" w:sz="4" w:space="4" w:color="auto"/>
        </w:pBdr>
        <w:rPr>
          <w:b/>
        </w:rPr>
      </w:pPr>
      <w:r>
        <w:rPr>
          <w:b/>
          <w:highlight w:val="yellow"/>
          <w:u w:val="single"/>
        </w:rPr>
        <w:t>Rates versus Land Values Table</w:t>
      </w:r>
      <w:r w:rsidRPr="004C1B98">
        <w:rPr>
          <w:b/>
          <w:highlight w:val="yellow"/>
          <w:u w:val="single"/>
        </w:rPr>
        <w:t xml:space="preserve"> (</w:t>
      </w:r>
      <w:r w:rsidR="00404786">
        <w:rPr>
          <w:b/>
          <w:highlight w:val="yellow"/>
          <w:u w:val="single"/>
        </w:rPr>
        <w:t>Appendix</w:t>
      </w:r>
      <w:r w:rsidRPr="004C1B98">
        <w:rPr>
          <w:b/>
          <w:highlight w:val="yellow"/>
          <w:u w:val="single"/>
        </w:rPr>
        <w:t xml:space="preserve"> </w:t>
      </w:r>
      <w:r w:rsidR="00F20531">
        <w:rPr>
          <w:b/>
          <w:highlight w:val="yellow"/>
          <w:u w:val="single"/>
        </w:rPr>
        <w:t>1</w:t>
      </w:r>
      <w:r w:rsidR="00AE1846">
        <w:rPr>
          <w:b/>
          <w:highlight w:val="yellow"/>
          <w:u w:val="single"/>
        </w:rPr>
        <w:t>3</w:t>
      </w:r>
      <w:r w:rsidRPr="004E6E5B">
        <w:rPr>
          <w:b/>
          <w:highlight w:val="yellow"/>
          <w:u w:val="single"/>
        </w:rPr>
        <w:t>)</w:t>
      </w:r>
      <w:r w:rsidR="00D97776" w:rsidRPr="004E6E5B">
        <w:rPr>
          <w:b/>
          <w:highlight w:val="yellow"/>
        </w:rPr>
        <w:t xml:space="preserve"> </w:t>
      </w:r>
      <w:r w:rsidR="004E6E5B" w:rsidRPr="004E6E5B">
        <w:rPr>
          <w:b/>
          <w:highlight w:val="yellow"/>
        </w:rPr>
        <w:t>– Within Appendix 24</w:t>
      </w:r>
    </w:p>
    <w:p w:rsidR="00D60EA5" w:rsidRPr="00A35E66" w:rsidRDefault="001C6AB3" w:rsidP="00D60EA5">
      <w:pPr>
        <w:pStyle w:val="Heading2"/>
      </w:pPr>
      <w:bookmarkStart w:id="30" w:name="_Toc366160418"/>
      <w:bookmarkStart w:id="31" w:name="_Toc401138376"/>
      <w:r w:rsidRPr="00A35E66">
        <w:t xml:space="preserve">Consideration of </w:t>
      </w:r>
      <w:r w:rsidR="006A1B80" w:rsidRPr="00A35E66">
        <w:t xml:space="preserve">affordability and </w:t>
      </w:r>
      <w:r w:rsidRPr="00A35E66">
        <w:t xml:space="preserve">the </w:t>
      </w:r>
      <w:r w:rsidR="00D60EA5" w:rsidRPr="00A35E66">
        <w:t>community</w:t>
      </w:r>
      <w:r w:rsidRPr="00A35E66">
        <w:t>’s</w:t>
      </w:r>
      <w:r w:rsidR="00D60EA5" w:rsidRPr="00A35E66">
        <w:t xml:space="preserve"> capacity </w:t>
      </w:r>
      <w:proofErr w:type="gramStart"/>
      <w:r w:rsidRPr="00A35E66">
        <w:t>and</w:t>
      </w:r>
      <w:proofErr w:type="gramEnd"/>
      <w:r w:rsidRPr="00A35E66">
        <w:t xml:space="preserve"> willingness </w:t>
      </w:r>
      <w:r w:rsidR="00D60EA5" w:rsidRPr="00A35E66">
        <w:t>to pay</w:t>
      </w:r>
      <w:bookmarkEnd w:id="30"/>
      <w:bookmarkEnd w:id="31"/>
    </w:p>
    <w:p w:rsidR="006A1B80" w:rsidRPr="00A35E66" w:rsidRDefault="00A40BA8" w:rsidP="000C5A28">
      <w:pPr>
        <w:pStyle w:val="BodyText"/>
      </w:pPr>
      <w:r w:rsidRPr="00A35E66">
        <w:t xml:space="preserve">The council is required to provide evidence </w:t>
      </w:r>
      <w:r w:rsidR="00887372" w:rsidRPr="00A35E66">
        <w:t>through</w:t>
      </w:r>
      <w:r w:rsidRPr="00A35E66">
        <w:t xml:space="preserve"> its IP&amp;R </w:t>
      </w:r>
      <w:r w:rsidR="00887372" w:rsidRPr="00A35E66">
        <w:t xml:space="preserve">processes, and in its application, </w:t>
      </w:r>
      <w:r w:rsidRPr="00A35E66">
        <w:t xml:space="preserve">of how it assessed </w:t>
      </w:r>
      <w:r w:rsidR="0007545C" w:rsidRPr="00A35E66">
        <w:t xml:space="preserve">the community’s capacity and willingness to pay the </w:t>
      </w:r>
      <w:r w:rsidR="00887372" w:rsidRPr="00A35E66">
        <w:t>proposed</w:t>
      </w:r>
      <w:r w:rsidRPr="00A35E66">
        <w:t xml:space="preserve"> </w:t>
      </w:r>
      <w:r w:rsidR="0007545C" w:rsidRPr="00A35E66">
        <w:t>rate increases</w:t>
      </w:r>
      <w:r w:rsidRPr="00A35E66">
        <w:t xml:space="preserve">.  This </w:t>
      </w:r>
      <w:r w:rsidR="00CE2AAA" w:rsidRPr="00A35E66">
        <w:t xml:space="preserve">is to </w:t>
      </w:r>
      <w:r w:rsidRPr="00A35E66">
        <w:t xml:space="preserve">include </w:t>
      </w:r>
      <w:r w:rsidR="00CE2AAA" w:rsidRPr="00A35E66">
        <w:t xml:space="preserve">an explanation of </w:t>
      </w:r>
      <w:r w:rsidR="006A1B80" w:rsidRPr="00A35E66">
        <w:t>how the council established that the proposed rate rises are affordable for the community</w:t>
      </w:r>
      <w:r w:rsidR="00CE2AAA" w:rsidRPr="00A35E66">
        <w:t>.</w:t>
      </w:r>
    </w:p>
    <w:p w:rsidR="00744571" w:rsidRPr="00A35E66" w:rsidRDefault="00747C60" w:rsidP="000C5A28">
      <w:pPr>
        <w:pStyle w:val="BodyText"/>
      </w:pPr>
      <w:r w:rsidRPr="00A35E66">
        <w:t xml:space="preserve">Evidence </w:t>
      </w:r>
      <w:r w:rsidR="00DF1DB0" w:rsidRPr="00A35E66">
        <w:t xml:space="preserve">about </w:t>
      </w:r>
      <w:r w:rsidRPr="00A35E66">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A35E66">
        <w:t xml:space="preserve">or neighbouring </w:t>
      </w:r>
      <w:r w:rsidRPr="00A35E66">
        <w:t xml:space="preserve">council areas.  </w:t>
      </w:r>
    </w:p>
    <w:p w:rsidR="00747C60" w:rsidRPr="00A35E66" w:rsidRDefault="00747C60" w:rsidP="00747C60">
      <w:pPr>
        <w:pStyle w:val="BodyText"/>
      </w:pPr>
      <w:r w:rsidRPr="00A35E66">
        <w:t xml:space="preserve">As many of these measures are highly aggregated, it may also be useful to discuss </w:t>
      </w:r>
      <w:r w:rsidR="00744571" w:rsidRPr="00A35E66">
        <w:t>other</w:t>
      </w:r>
      <w:r w:rsidR="00A52804" w:rsidRPr="00A35E66">
        <w:t xml:space="preserve"> </w:t>
      </w:r>
      <w:r w:rsidRPr="00A35E66">
        <w:t>factors that could better explain the impact on ratepayers affected by the proposed rate increases, particularly if the impact varies across different categories of ratepayers.</w:t>
      </w:r>
    </w:p>
    <w:p w:rsidR="006A1B80" w:rsidRDefault="006A1B80" w:rsidP="00747C60">
      <w:pPr>
        <w:pStyle w:val="BodyText"/>
      </w:pPr>
      <w:r w:rsidRPr="00A35E66">
        <w:t>We may also consider how the council’s hardship policy</w:t>
      </w:r>
      <w:r w:rsidR="00DF1DB0" w:rsidRPr="00A35E66">
        <w:t xml:space="preserve"> (see Section 5.3 below) </w:t>
      </w:r>
      <w:r w:rsidRPr="00A35E66">
        <w:t>might reduce the impact on socio-economically disadvantaged ratepayers.</w:t>
      </w:r>
    </w:p>
    <w:p w:rsidR="0022256E" w:rsidRDefault="0022256E" w:rsidP="006A1B80">
      <w:pPr>
        <w:pStyle w:val="BodyText"/>
        <w:pBdr>
          <w:top w:val="single" w:sz="4" w:space="1" w:color="auto"/>
          <w:left w:val="single" w:sz="4" w:space="4" w:color="auto"/>
          <w:bottom w:val="single" w:sz="4" w:space="1" w:color="auto"/>
          <w:right w:val="single" w:sz="4" w:space="4" w:color="auto"/>
        </w:pBdr>
        <w:rPr>
          <w:highlight w:val="yellow"/>
        </w:rPr>
      </w:pPr>
      <w:r w:rsidRPr="00451BFC">
        <w:rPr>
          <w:highlight w:val="yellow"/>
        </w:rPr>
        <w:t xml:space="preserve">Council was conscious of a number of things when proposing a SRV. The increase had to be a modest amount and </w:t>
      </w:r>
      <w:r w:rsidR="00E53D06">
        <w:rPr>
          <w:highlight w:val="yellow"/>
        </w:rPr>
        <w:t>it</w:t>
      </w:r>
      <w:r w:rsidRPr="00451BFC">
        <w:rPr>
          <w:highlight w:val="yellow"/>
        </w:rPr>
        <w:t xml:space="preserve"> needed to avoid imposing additional burdens on those that were already under financial pressure (</w:t>
      </w:r>
      <w:proofErr w:type="spellStart"/>
      <w:r w:rsidRPr="00451BFC">
        <w:rPr>
          <w:highlight w:val="yellow"/>
        </w:rPr>
        <w:t>eg</w:t>
      </w:r>
      <w:proofErr w:type="spellEnd"/>
      <w:r w:rsidRPr="00451BFC">
        <w:rPr>
          <w:highlight w:val="yellow"/>
        </w:rPr>
        <w:t xml:space="preserve"> pensioners).</w:t>
      </w:r>
    </w:p>
    <w:p w:rsidR="004A67AD" w:rsidRPr="00451BFC" w:rsidRDefault="004A67AD" w:rsidP="004A67AD">
      <w:pPr>
        <w:pStyle w:val="BodyText"/>
        <w:pBdr>
          <w:top w:val="single" w:sz="4" w:space="1" w:color="auto"/>
          <w:left w:val="single" w:sz="4" w:space="4" w:color="auto"/>
          <w:bottom w:val="single" w:sz="4" w:space="1" w:color="auto"/>
          <w:right w:val="single" w:sz="4" w:space="4" w:color="auto"/>
        </w:pBdr>
        <w:rPr>
          <w:highlight w:val="yellow"/>
        </w:rPr>
      </w:pPr>
      <w:r w:rsidRPr="00451BFC">
        <w:rPr>
          <w:highlight w:val="yellow"/>
        </w:rPr>
        <w:t xml:space="preserve">Council </w:t>
      </w:r>
      <w:r w:rsidR="00E53D06">
        <w:rPr>
          <w:highlight w:val="yellow"/>
        </w:rPr>
        <w:t xml:space="preserve">already </w:t>
      </w:r>
      <w:r w:rsidRPr="00451BFC">
        <w:rPr>
          <w:highlight w:val="yellow"/>
        </w:rPr>
        <w:t>has a p</w:t>
      </w:r>
      <w:r w:rsidR="00E53D06">
        <w:rPr>
          <w:highlight w:val="yellow"/>
        </w:rPr>
        <w:t>ractice of</w:t>
      </w:r>
      <w:r w:rsidRPr="00451BFC">
        <w:rPr>
          <w:highlight w:val="yellow"/>
        </w:rPr>
        <w:t xml:space="preserve"> not pursuing pensioners for outstanding rates.  </w:t>
      </w:r>
    </w:p>
    <w:p w:rsidR="0022256E" w:rsidRDefault="0022256E" w:rsidP="006A1B80">
      <w:pPr>
        <w:pStyle w:val="BodyText"/>
        <w:pBdr>
          <w:top w:val="single" w:sz="4" w:space="1" w:color="auto"/>
          <w:left w:val="single" w:sz="4" w:space="4" w:color="auto"/>
          <w:bottom w:val="single" w:sz="4" w:space="1" w:color="auto"/>
          <w:right w:val="single" w:sz="4" w:space="4" w:color="auto"/>
        </w:pBdr>
        <w:rPr>
          <w:highlight w:val="yellow"/>
        </w:rPr>
      </w:pPr>
      <w:r w:rsidRPr="00451BFC">
        <w:rPr>
          <w:highlight w:val="yellow"/>
        </w:rPr>
        <w:t xml:space="preserve">Council </w:t>
      </w:r>
      <w:r w:rsidR="00FD7810" w:rsidRPr="00451BFC">
        <w:rPr>
          <w:highlight w:val="yellow"/>
        </w:rPr>
        <w:t xml:space="preserve">has a relatively low outstanding rates </w:t>
      </w:r>
      <w:r w:rsidR="00E53D06">
        <w:rPr>
          <w:highlight w:val="yellow"/>
        </w:rPr>
        <w:t>percentage</w:t>
      </w:r>
      <w:r w:rsidR="00FD7810" w:rsidRPr="00451BFC">
        <w:rPr>
          <w:highlight w:val="yellow"/>
        </w:rPr>
        <w:t xml:space="preserve"> </w:t>
      </w:r>
      <w:r w:rsidR="00E53D06">
        <w:rPr>
          <w:highlight w:val="yellow"/>
        </w:rPr>
        <w:t xml:space="preserve">(3.4%) </w:t>
      </w:r>
      <w:r w:rsidR="00FD7810" w:rsidRPr="00451BFC">
        <w:rPr>
          <w:highlight w:val="yellow"/>
        </w:rPr>
        <w:t xml:space="preserve">which may indicate the current spread of rates across the LGA is not overly taxing. </w:t>
      </w:r>
    </w:p>
    <w:p w:rsidR="004B44DE" w:rsidRPr="00451BFC" w:rsidRDefault="004B44DE" w:rsidP="006A1B80">
      <w:pPr>
        <w:pStyle w:val="BodyText"/>
        <w:pBdr>
          <w:top w:val="single" w:sz="4" w:space="1" w:color="auto"/>
          <w:left w:val="single" w:sz="4" w:space="4" w:color="auto"/>
          <w:bottom w:val="single" w:sz="4" w:space="1" w:color="auto"/>
          <w:right w:val="single" w:sz="4" w:space="4" w:color="auto"/>
        </w:pBdr>
        <w:rPr>
          <w:highlight w:val="yellow"/>
        </w:rPr>
      </w:pPr>
      <w:r w:rsidRPr="004B44DE">
        <w:rPr>
          <w:highlight w:val="yellow"/>
        </w:rPr>
        <w:t>According to 2011 Census Data, Marrickville had one of the largest increases in household incomes in NSW, increasing by almost twice the State average. Rent and mortgage payments also rose, but not nearly as much as household income</w:t>
      </w:r>
      <w:r>
        <w:rPr>
          <w:highlight w:val="yellow"/>
        </w:rPr>
        <w:t>.</w:t>
      </w:r>
    </w:p>
    <w:p w:rsidR="00890077" w:rsidRDefault="00FD7810" w:rsidP="006A1B80">
      <w:pPr>
        <w:pStyle w:val="BodyText"/>
        <w:pBdr>
          <w:top w:val="single" w:sz="4" w:space="1" w:color="auto"/>
          <w:left w:val="single" w:sz="4" w:space="4" w:color="auto"/>
          <w:bottom w:val="single" w:sz="4" w:space="1" w:color="auto"/>
          <w:right w:val="single" w:sz="4" w:space="4" w:color="auto"/>
        </w:pBdr>
      </w:pPr>
      <w:r w:rsidRPr="00451BFC">
        <w:rPr>
          <w:highlight w:val="yellow"/>
        </w:rPr>
        <w:t>Certainly</w:t>
      </w:r>
      <w:r w:rsidR="004A67AD">
        <w:rPr>
          <w:highlight w:val="yellow"/>
        </w:rPr>
        <w:t>,</w:t>
      </w:r>
      <w:r w:rsidRPr="00451BFC">
        <w:rPr>
          <w:highlight w:val="yellow"/>
        </w:rPr>
        <w:t xml:space="preserve"> Marrickville’s average residential rate compare</w:t>
      </w:r>
      <w:r w:rsidR="004A67AD">
        <w:rPr>
          <w:highlight w:val="yellow"/>
        </w:rPr>
        <w:t>s</w:t>
      </w:r>
      <w:r w:rsidRPr="00451BFC">
        <w:rPr>
          <w:highlight w:val="yellow"/>
        </w:rPr>
        <w:t xml:space="preserve"> favourably with </w:t>
      </w:r>
      <w:r w:rsidR="00E53D06">
        <w:rPr>
          <w:highlight w:val="yellow"/>
        </w:rPr>
        <w:t>its</w:t>
      </w:r>
      <w:r w:rsidRPr="00451BFC">
        <w:rPr>
          <w:highlight w:val="yellow"/>
        </w:rPr>
        <w:t xml:space="preserve"> immediate neighbours. Even despite the proposed rate increase, Marrickville will still have one of the lowest average residential rates</w:t>
      </w:r>
      <w:r w:rsidR="00CB6A04" w:rsidRPr="00451BFC">
        <w:rPr>
          <w:highlight w:val="yellow"/>
        </w:rPr>
        <w:t xml:space="preserve"> of all the Sydney Inner West Councils.</w:t>
      </w:r>
      <w:r w:rsidR="004A67AD">
        <w:rPr>
          <w:highlight w:val="yellow"/>
        </w:rPr>
        <w:t xml:space="preserve"> </w:t>
      </w:r>
      <w:r w:rsidR="00CB6A04" w:rsidRPr="00451BFC">
        <w:rPr>
          <w:highlight w:val="yellow"/>
        </w:rPr>
        <w:t>Marrickville’s average business rate is comparable with our immediate neighbours.</w:t>
      </w:r>
      <w:r w:rsidR="00890077">
        <w:t xml:space="preserve"> </w:t>
      </w:r>
    </w:p>
    <w:p w:rsidR="00800688" w:rsidRDefault="00800688" w:rsidP="006A1B80">
      <w:pPr>
        <w:pStyle w:val="BodyText"/>
        <w:pBdr>
          <w:top w:val="single" w:sz="4" w:space="1" w:color="auto"/>
          <w:left w:val="single" w:sz="4" w:space="4" w:color="auto"/>
          <w:bottom w:val="single" w:sz="4" w:space="1" w:color="auto"/>
          <w:right w:val="single" w:sz="4" w:space="4" w:color="auto"/>
        </w:pBdr>
      </w:pPr>
      <w:r w:rsidRPr="00800688">
        <w:rPr>
          <w:highlight w:val="yellow"/>
        </w:rPr>
        <w:t>It is also worth noting that Council proposes to only increase the Domestic Waste Management Charge by 2.5% in 2015/16.</w:t>
      </w:r>
    </w:p>
    <w:p w:rsidR="00E53D06" w:rsidRPr="004C1B98" w:rsidRDefault="00E53D06" w:rsidP="00E53D06">
      <w:pPr>
        <w:pStyle w:val="BodyText"/>
        <w:pBdr>
          <w:top w:val="single" w:sz="4" w:space="1" w:color="auto"/>
          <w:left w:val="single" w:sz="4" w:space="4" w:color="auto"/>
          <w:bottom w:val="single" w:sz="4" w:space="1" w:color="auto"/>
          <w:right w:val="single" w:sz="4" w:space="4" w:color="auto"/>
        </w:pBdr>
        <w:rPr>
          <w:b/>
          <w:highlight w:val="yellow"/>
        </w:rPr>
      </w:pPr>
      <w:r w:rsidRPr="004C1B98">
        <w:rPr>
          <w:b/>
          <w:sz w:val="32"/>
          <w:szCs w:val="32"/>
          <w:highlight w:val="yellow"/>
        </w:rPr>
        <w:lastRenderedPageBreak/>
        <w:t>Reference Information</w:t>
      </w:r>
      <w:r w:rsidRPr="004C1B98">
        <w:rPr>
          <w:b/>
          <w:highlight w:val="yellow"/>
        </w:rPr>
        <w:t>:</w:t>
      </w:r>
    </w:p>
    <w:p w:rsidR="00E53D06" w:rsidRPr="00A35E66" w:rsidRDefault="00E53D06" w:rsidP="00E53D06">
      <w:pPr>
        <w:pStyle w:val="BodyText"/>
        <w:pBdr>
          <w:top w:val="single" w:sz="4" w:space="1" w:color="auto"/>
          <w:left w:val="single" w:sz="4" w:space="4" w:color="auto"/>
          <w:bottom w:val="single" w:sz="4" w:space="1" w:color="auto"/>
          <w:right w:val="single" w:sz="4" w:space="4" w:color="auto"/>
        </w:pBdr>
      </w:pPr>
      <w:r>
        <w:rPr>
          <w:b/>
          <w:highlight w:val="yellow"/>
          <w:u w:val="single"/>
        </w:rPr>
        <w:t xml:space="preserve">Rates Comparison </w:t>
      </w:r>
      <w:r w:rsidR="00040E83">
        <w:rPr>
          <w:b/>
          <w:highlight w:val="yellow"/>
          <w:u w:val="single"/>
        </w:rPr>
        <w:t xml:space="preserve">Table </w:t>
      </w:r>
      <w:bookmarkStart w:id="32" w:name="_GoBack"/>
      <w:bookmarkEnd w:id="32"/>
      <w:r w:rsidRPr="004C1B98">
        <w:rPr>
          <w:b/>
          <w:highlight w:val="yellow"/>
          <w:u w:val="single"/>
        </w:rPr>
        <w:t>(</w:t>
      </w:r>
      <w:r w:rsidR="00404786">
        <w:rPr>
          <w:b/>
          <w:highlight w:val="yellow"/>
          <w:u w:val="single"/>
        </w:rPr>
        <w:t>Appendix</w:t>
      </w:r>
      <w:r w:rsidRPr="004C1B98">
        <w:rPr>
          <w:b/>
          <w:highlight w:val="yellow"/>
          <w:u w:val="single"/>
        </w:rPr>
        <w:t xml:space="preserve"> </w:t>
      </w:r>
      <w:r w:rsidR="00F20531">
        <w:rPr>
          <w:b/>
          <w:highlight w:val="yellow"/>
          <w:u w:val="single"/>
        </w:rPr>
        <w:t>1</w:t>
      </w:r>
      <w:r w:rsidR="00AE1846">
        <w:rPr>
          <w:b/>
          <w:highlight w:val="yellow"/>
          <w:u w:val="single"/>
        </w:rPr>
        <w:t>4</w:t>
      </w:r>
      <w:r w:rsidRPr="00611526">
        <w:rPr>
          <w:b/>
          <w:highlight w:val="yellow"/>
          <w:u w:val="single"/>
        </w:rPr>
        <w:t>)</w:t>
      </w:r>
      <w:r w:rsidR="00611526" w:rsidRPr="00611526">
        <w:rPr>
          <w:b/>
          <w:highlight w:val="yellow"/>
          <w:u w:val="single"/>
        </w:rPr>
        <w:t xml:space="preserve"> – Wi</w:t>
      </w:r>
      <w:r w:rsidR="00611526">
        <w:rPr>
          <w:b/>
          <w:highlight w:val="yellow"/>
          <w:u w:val="single"/>
        </w:rPr>
        <w:t>t</w:t>
      </w:r>
      <w:r w:rsidR="00611526" w:rsidRPr="00611526">
        <w:rPr>
          <w:b/>
          <w:highlight w:val="yellow"/>
          <w:u w:val="single"/>
        </w:rPr>
        <w:t>hin Appendix 24</w:t>
      </w:r>
    </w:p>
    <w:p w:rsidR="00C50CE2" w:rsidRPr="00A35E66" w:rsidRDefault="004B44DE" w:rsidP="006A1B80">
      <w:pPr>
        <w:pStyle w:val="BodyText"/>
        <w:pBdr>
          <w:top w:val="single" w:sz="4" w:space="1" w:color="auto"/>
          <w:left w:val="single" w:sz="4" w:space="4" w:color="auto"/>
          <w:bottom w:val="single" w:sz="4" w:space="1" w:color="auto"/>
          <w:right w:val="single" w:sz="4" w:space="4" w:color="auto"/>
        </w:pBdr>
      </w:pPr>
      <w:r w:rsidRPr="004B44DE">
        <w:rPr>
          <w:b/>
          <w:highlight w:val="yellow"/>
          <w:u w:val="single"/>
        </w:rPr>
        <w:t xml:space="preserve">Marrickville </w:t>
      </w:r>
      <w:r w:rsidR="00C900DC">
        <w:rPr>
          <w:b/>
          <w:highlight w:val="yellow"/>
          <w:u w:val="single"/>
        </w:rPr>
        <w:t>P</w:t>
      </w:r>
      <w:r w:rsidRPr="004B44DE">
        <w:rPr>
          <w:b/>
          <w:highlight w:val="yellow"/>
          <w:u w:val="single"/>
        </w:rPr>
        <w:t xml:space="preserve">rofile ID </w:t>
      </w:r>
      <w:r w:rsidR="00C900DC">
        <w:rPr>
          <w:b/>
          <w:highlight w:val="yellow"/>
          <w:u w:val="single"/>
        </w:rPr>
        <w:t xml:space="preserve">Information </w:t>
      </w:r>
      <w:r w:rsidRPr="004B44DE">
        <w:rPr>
          <w:b/>
          <w:highlight w:val="yellow"/>
          <w:u w:val="single"/>
        </w:rPr>
        <w:t>(</w:t>
      </w:r>
      <w:r w:rsidR="00404786">
        <w:rPr>
          <w:b/>
          <w:highlight w:val="yellow"/>
          <w:u w:val="single"/>
        </w:rPr>
        <w:t>Appendix</w:t>
      </w:r>
      <w:r w:rsidRPr="004B44DE">
        <w:rPr>
          <w:b/>
          <w:highlight w:val="yellow"/>
          <w:u w:val="single"/>
        </w:rPr>
        <w:t xml:space="preserve"> </w:t>
      </w:r>
      <w:r w:rsidR="00F20531">
        <w:rPr>
          <w:b/>
          <w:highlight w:val="yellow"/>
          <w:u w:val="single"/>
        </w:rPr>
        <w:t>1</w:t>
      </w:r>
      <w:r w:rsidR="00AE1846">
        <w:rPr>
          <w:b/>
          <w:highlight w:val="yellow"/>
          <w:u w:val="single"/>
        </w:rPr>
        <w:t>5</w:t>
      </w:r>
      <w:r w:rsidRPr="004B44DE">
        <w:rPr>
          <w:b/>
          <w:highlight w:val="yellow"/>
          <w:u w:val="single"/>
        </w:rPr>
        <w:t>)</w:t>
      </w:r>
      <w:r w:rsidR="00CB6A04">
        <w:t xml:space="preserve">  </w:t>
      </w:r>
    </w:p>
    <w:p w:rsidR="00D60EA5" w:rsidRPr="00A35E66" w:rsidRDefault="00D60EA5" w:rsidP="006A1B80">
      <w:pPr>
        <w:pStyle w:val="Heading2"/>
      </w:pPr>
      <w:bookmarkStart w:id="33" w:name="_Toc401138377"/>
      <w:r w:rsidRPr="00A35E66">
        <w:t>Addressing hardship</w:t>
      </w:r>
      <w:bookmarkEnd w:id="33"/>
    </w:p>
    <w:p w:rsidR="00D60EA5" w:rsidRPr="00A35E66" w:rsidRDefault="00D60EA5" w:rsidP="00D60EA5">
      <w:pPr>
        <w:pStyle w:val="BodyText"/>
      </w:pPr>
      <w:r w:rsidRPr="00A35E66">
        <w:t>In addition to the statutory requirement for p</w:t>
      </w:r>
      <w:r w:rsidR="00FC2116" w:rsidRPr="00A35E66">
        <w:t xml:space="preserve">ensioner rebates, most </w:t>
      </w:r>
      <w:proofErr w:type="gramStart"/>
      <w:r w:rsidR="00FC2116" w:rsidRPr="00A35E66">
        <w:t>councils</w:t>
      </w:r>
      <w:proofErr w:type="gramEnd"/>
      <w:r w:rsidR="00FC2116" w:rsidRPr="00A35E66">
        <w:t xml:space="preserve"> </w:t>
      </w:r>
      <w:r w:rsidRPr="00A35E66">
        <w:t>have a policy, formal or otherwise</w:t>
      </w:r>
      <w:r w:rsidR="00FC2116" w:rsidRPr="00A35E66">
        <w:t xml:space="preserve"> to address issues of hardship</w:t>
      </w:r>
      <w:r w:rsidRPr="00A35E66">
        <w:t>.</w:t>
      </w:r>
    </w:p>
    <w:p w:rsidR="00D60EA5" w:rsidRPr="00A35E66" w:rsidRDefault="00D60EA5" w:rsidP="009F6444">
      <w:pPr>
        <w:pStyle w:val="BodyText"/>
        <w:keepNext/>
        <w:spacing w:before="0"/>
      </w:pPr>
    </w:p>
    <w:tbl>
      <w:tblPr>
        <w:tblW w:w="0" w:type="auto"/>
        <w:tblLook w:val="01E0"/>
      </w:tblPr>
      <w:tblGrid>
        <w:gridCol w:w="6487"/>
        <w:gridCol w:w="851"/>
        <w:gridCol w:w="816"/>
      </w:tblGrid>
      <w:tr w:rsidR="00B84AA8" w:rsidRPr="00A35E66" w:rsidTr="00EA2EEF">
        <w:tc>
          <w:tcPr>
            <w:tcW w:w="6487" w:type="dxa"/>
          </w:tcPr>
          <w:p w:rsidR="00B84AA8" w:rsidRPr="00A35E66" w:rsidRDefault="00B84AA8" w:rsidP="00B84AA8">
            <w:pPr>
              <w:pStyle w:val="TableTextEntries"/>
            </w:pPr>
            <w:r w:rsidRPr="00A35E66">
              <w:t>Does the council have a Hardship Policy?</w:t>
            </w:r>
          </w:p>
        </w:tc>
        <w:tc>
          <w:tcPr>
            <w:tcW w:w="851" w:type="dxa"/>
          </w:tcPr>
          <w:p w:rsidR="00B84AA8" w:rsidRPr="00A35E66" w:rsidRDefault="00B84AA8" w:rsidP="00B84AA8">
            <w:pPr>
              <w:pStyle w:val="TableTextEntries"/>
              <w:rPr>
                <w:rFonts w:cs="Arial"/>
              </w:rPr>
            </w:pPr>
            <w:r w:rsidRPr="00A35E66">
              <w:rPr>
                <w:rFonts w:cs="Arial"/>
              </w:rPr>
              <w:t xml:space="preserve">Yes </w:t>
            </w:r>
            <w:r w:rsidR="0030767F" w:rsidRPr="00A35E66">
              <w:rPr>
                <w:rFonts w:cs="Arial"/>
              </w:rPr>
              <w:fldChar w:fldCharType="begin">
                <w:ffData>
                  <w:name w:val="Check6"/>
                  <w:enabled/>
                  <w:calcOnExit w:val="0"/>
                  <w:checkBox>
                    <w:sizeAuto/>
                    <w:default w:val="0"/>
                  </w:checkBox>
                </w:ffData>
              </w:fldChar>
            </w:r>
            <w:r w:rsidRPr="00A35E66">
              <w:rPr>
                <w:rFonts w:cs="Arial"/>
              </w:rPr>
              <w:instrText xml:space="preserve"> FORMCHECKBOX </w:instrText>
            </w:r>
            <w:r w:rsidR="0030767F" w:rsidRPr="00A35E66">
              <w:rPr>
                <w:rFonts w:cs="Arial"/>
              </w:rPr>
            </w:r>
            <w:r w:rsidR="0030767F" w:rsidRPr="00A35E66">
              <w:rPr>
                <w:rFonts w:cs="Arial"/>
              </w:rPr>
              <w:fldChar w:fldCharType="end"/>
            </w:r>
          </w:p>
        </w:tc>
        <w:tc>
          <w:tcPr>
            <w:tcW w:w="816" w:type="dxa"/>
            <w:vAlign w:val="bottom"/>
          </w:tcPr>
          <w:p w:rsidR="00B84AA8" w:rsidRPr="00A35E66" w:rsidRDefault="00B84AA8" w:rsidP="004F0525">
            <w:pPr>
              <w:pStyle w:val="TableTextEntries"/>
            </w:pPr>
            <w:r w:rsidRPr="00A35E66">
              <w:rPr>
                <w:rFonts w:cs="Arial"/>
              </w:rPr>
              <w:t xml:space="preserve">No </w:t>
            </w:r>
            <w:r w:rsidR="004F0525">
              <w:rPr>
                <w:rFonts w:cs="Arial"/>
              </w:rPr>
              <w:t>X</w:t>
            </w:r>
          </w:p>
        </w:tc>
      </w:tr>
      <w:tr w:rsidR="00284554" w:rsidRPr="00A35E66" w:rsidTr="00651445">
        <w:tc>
          <w:tcPr>
            <w:tcW w:w="6487" w:type="dxa"/>
          </w:tcPr>
          <w:p w:rsidR="00284554" w:rsidRPr="00A35E66" w:rsidRDefault="00C37BFE" w:rsidP="00651445">
            <w:pPr>
              <w:pStyle w:val="TableTextEntries"/>
              <w:rPr>
                <w:rFonts w:cs="Arial"/>
              </w:rPr>
            </w:pPr>
            <w:r w:rsidRPr="00A35E66">
              <w:rPr>
                <w:rFonts w:cs="Arial"/>
              </w:rPr>
              <w:t>If Yes, i</w:t>
            </w:r>
            <w:r w:rsidR="009B31B5" w:rsidRPr="00A35E66">
              <w:rPr>
                <w:rFonts w:cs="Arial"/>
              </w:rPr>
              <w:t>s an interest charge applied</w:t>
            </w:r>
            <w:r w:rsidR="00284554" w:rsidRPr="00A35E66">
              <w:rPr>
                <w:rFonts w:cs="Arial"/>
              </w:rPr>
              <w:t xml:space="preserve"> to late rate payments?</w:t>
            </w:r>
          </w:p>
        </w:tc>
        <w:tc>
          <w:tcPr>
            <w:tcW w:w="851" w:type="dxa"/>
          </w:tcPr>
          <w:p w:rsidR="00284554" w:rsidRPr="00A35E66" w:rsidRDefault="00284554" w:rsidP="004F0525">
            <w:pPr>
              <w:pStyle w:val="TableTextEntries"/>
              <w:rPr>
                <w:rFonts w:cs="Arial"/>
              </w:rPr>
            </w:pPr>
            <w:r w:rsidRPr="00A35E66">
              <w:rPr>
                <w:rFonts w:cs="Arial"/>
              </w:rPr>
              <w:t xml:space="preserve">Yes </w:t>
            </w:r>
            <w:r w:rsidR="004F0525">
              <w:rPr>
                <w:rFonts w:cs="Arial"/>
              </w:rPr>
              <w:t>X</w:t>
            </w:r>
          </w:p>
        </w:tc>
        <w:tc>
          <w:tcPr>
            <w:tcW w:w="816" w:type="dxa"/>
            <w:vAlign w:val="bottom"/>
          </w:tcPr>
          <w:p w:rsidR="00284554" w:rsidRPr="00A35E66" w:rsidRDefault="00284554" w:rsidP="00651445">
            <w:pPr>
              <w:pStyle w:val="TableTextEntries"/>
            </w:pPr>
            <w:r w:rsidRPr="00A35E66">
              <w:rPr>
                <w:rFonts w:cs="Arial"/>
              </w:rPr>
              <w:t xml:space="preserve">No </w:t>
            </w:r>
            <w:r w:rsidR="0030767F" w:rsidRPr="00A35E66">
              <w:rPr>
                <w:rFonts w:cs="Arial"/>
              </w:rPr>
              <w:fldChar w:fldCharType="begin">
                <w:ffData>
                  <w:name w:val="Check7"/>
                  <w:enabled/>
                  <w:calcOnExit w:val="0"/>
                  <w:checkBox>
                    <w:sizeAuto/>
                    <w:default w:val="0"/>
                  </w:checkBox>
                </w:ffData>
              </w:fldChar>
            </w:r>
            <w:r w:rsidRPr="00A35E66">
              <w:rPr>
                <w:rFonts w:cs="Arial"/>
              </w:rPr>
              <w:instrText xml:space="preserve"> FORMCHECKBOX </w:instrText>
            </w:r>
            <w:r w:rsidR="0030767F" w:rsidRPr="00A35E66">
              <w:rPr>
                <w:rFonts w:cs="Arial"/>
              </w:rPr>
            </w:r>
            <w:r w:rsidR="0030767F" w:rsidRPr="00A35E66">
              <w:rPr>
                <w:rFonts w:cs="Arial"/>
              </w:rPr>
              <w:fldChar w:fldCharType="end"/>
            </w:r>
          </w:p>
        </w:tc>
      </w:tr>
      <w:tr w:rsidR="00284554" w:rsidRPr="00A35E66" w:rsidTr="00EA2EEF">
        <w:tc>
          <w:tcPr>
            <w:tcW w:w="6487" w:type="dxa"/>
          </w:tcPr>
          <w:p w:rsidR="00284554" w:rsidRPr="00A35E66" w:rsidRDefault="00284554" w:rsidP="00B84AA8">
            <w:pPr>
              <w:pStyle w:val="TableTextEntries"/>
            </w:pPr>
            <w:r w:rsidRPr="00A35E66">
              <w:t>Does the council propose to introduce any measures to limit the impact of the propo</w:t>
            </w:r>
            <w:r w:rsidR="009B31B5" w:rsidRPr="00A35E66">
              <w:t>sed special variation on specific</w:t>
            </w:r>
            <w:r w:rsidRPr="00A35E66">
              <w:t xml:space="preserve"> groups</w:t>
            </w:r>
            <w:r w:rsidR="00827C5F" w:rsidRPr="00A35E66">
              <w:t xml:space="preserve"> in the community</w:t>
            </w:r>
            <w:r w:rsidRPr="00A35E66">
              <w:t>?</w:t>
            </w:r>
          </w:p>
        </w:tc>
        <w:tc>
          <w:tcPr>
            <w:tcW w:w="851" w:type="dxa"/>
          </w:tcPr>
          <w:p w:rsidR="00284554" w:rsidRPr="00A35E66" w:rsidRDefault="00284554" w:rsidP="004F0525">
            <w:pPr>
              <w:pStyle w:val="TableTextEntries"/>
            </w:pPr>
            <w:r w:rsidRPr="00A35E66">
              <w:rPr>
                <w:rFonts w:cs="Arial"/>
              </w:rPr>
              <w:t xml:space="preserve">Yes </w:t>
            </w:r>
            <w:r w:rsidR="004F0525">
              <w:rPr>
                <w:rFonts w:cs="Arial"/>
              </w:rPr>
              <w:t>X</w:t>
            </w:r>
          </w:p>
        </w:tc>
        <w:tc>
          <w:tcPr>
            <w:tcW w:w="816" w:type="dxa"/>
          </w:tcPr>
          <w:p w:rsidR="00284554" w:rsidRPr="00A35E66" w:rsidRDefault="00284554" w:rsidP="00B84AA8">
            <w:pPr>
              <w:pStyle w:val="TableTextEntries"/>
            </w:pPr>
            <w:r w:rsidRPr="00A35E66">
              <w:rPr>
                <w:rFonts w:cs="Arial"/>
              </w:rPr>
              <w:t xml:space="preserve">No </w:t>
            </w:r>
            <w:r w:rsidR="0030767F" w:rsidRPr="00A35E66">
              <w:rPr>
                <w:rFonts w:cs="Arial"/>
              </w:rPr>
              <w:fldChar w:fldCharType="begin">
                <w:ffData>
                  <w:name w:val="Check7"/>
                  <w:enabled/>
                  <w:calcOnExit w:val="0"/>
                  <w:checkBox>
                    <w:sizeAuto/>
                    <w:default w:val="0"/>
                  </w:checkBox>
                </w:ffData>
              </w:fldChar>
            </w:r>
            <w:r w:rsidRPr="00A35E66">
              <w:rPr>
                <w:rFonts w:cs="Arial"/>
              </w:rPr>
              <w:instrText xml:space="preserve"> FORMCHECKBOX </w:instrText>
            </w:r>
            <w:r w:rsidR="0030767F" w:rsidRPr="00A35E66">
              <w:rPr>
                <w:rFonts w:cs="Arial"/>
              </w:rPr>
            </w:r>
            <w:r w:rsidR="0030767F" w:rsidRPr="00A35E66">
              <w:rPr>
                <w:rFonts w:cs="Arial"/>
              </w:rPr>
              <w:fldChar w:fldCharType="end"/>
            </w:r>
          </w:p>
        </w:tc>
      </w:tr>
    </w:tbl>
    <w:p w:rsidR="00CA35DF" w:rsidRPr="00A35E66" w:rsidRDefault="00916FAE" w:rsidP="00CA35DF">
      <w:pPr>
        <w:pStyle w:val="BodyText"/>
      </w:pPr>
      <w:r w:rsidRPr="00A35E66">
        <w:t>You should a</w:t>
      </w:r>
      <w:r w:rsidR="00CA35DF" w:rsidRPr="00A35E66">
        <w:t xml:space="preserve">ttach a copy of the </w:t>
      </w:r>
      <w:r w:rsidR="00C37BFE" w:rsidRPr="00A35E66">
        <w:t xml:space="preserve">Hardship </w:t>
      </w:r>
      <w:r w:rsidR="00CA35DF" w:rsidRPr="00A35E66">
        <w:t>Policy and explain</w:t>
      </w:r>
      <w:r w:rsidR="009B31B5" w:rsidRPr="00A35E66">
        <w:t xml:space="preserve"> below</w:t>
      </w:r>
      <w:r w:rsidR="00CA35DF" w:rsidRPr="00A35E66">
        <w:t xml:space="preserve"> who the potential beneficiaries are and how they are </w:t>
      </w:r>
      <w:r w:rsidR="00827C5F" w:rsidRPr="00A35E66">
        <w:t>assisted</w:t>
      </w:r>
      <w:r w:rsidR="00CA35DF" w:rsidRPr="00A35E66">
        <w:t>.</w:t>
      </w:r>
    </w:p>
    <w:p w:rsidR="00F413CE" w:rsidRPr="00A35E66" w:rsidRDefault="00C37BFE" w:rsidP="00D60EA5">
      <w:pPr>
        <w:pStyle w:val="BodyText"/>
      </w:pPr>
      <w:r w:rsidRPr="00A35E66">
        <w:t>P</w:t>
      </w:r>
      <w:r w:rsidR="00916FAE" w:rsidRPr="00A35E66">
        <w:t>lease p</w:t>
      </w:r>
      <w:r w:rsidRPr="00A35E66">
        <w:t>rovide details of any other</w:t>
      </w:r>
      <w:r w:rsidR="00D60EA5" w:rsidRPr="00A35E66">
        <w:t xml:space="preserve"> measures </w:t>
      </w:r>
      <w:r w:rsidRPr="00A35E66">
        <w:t xml:space="preserve">addressing hardship </w:t>
      </w:r>
      <w:r w:rsidR="00D60EA5" w:rsidRPr="00A35E66">
        <w:t>to be adopted, or alternatively, explain why no measures are proposed.</w:t>
      </w:r>
    </w:p>
    <w:p w:rsidR="00C37BFE" w:rsidRDefault="00DF1DB0" w:rsidP="00D60EA5">
      <w:pPr>
        <w:pStyle w:val="BodyText"/>
      </w:pPr>
      <w:r w:rsidRPr="00A35E66">
        <w:t>The council is a</w:t>
      </w:r>
      <w:r w:rsidR="00C37BFE" w:rsidRPr="00A35E66">
        <w:t>lso</w:t>
      </w:r>
      <w:r w:rsidRPr="00A35E66">
        <w:t xml:space="preserve"> to </w:t>
      </w:r>
      <w:r w:rsidR="00C37BFE" w:rsidRPr="00A35E66">
        <w:t xml:space="preserve">indicate whether the policy or other measures are </w:t>
      </w:r>
      <w:r w:rsidRPr="00A35E66">
        <w:t xml:space="preserve">referenced </w:t>
      </w:r>
      <w:r w:rsidR="00C37BFE" w:rsidRPr="00A35E66">
        <w:t>in the council’s IP&amp;R documents (</w:t>
      </w:r>
      <w:r w:rsidR="00B972F0" w:rsidRPr="00A35E66">
        <w:t xml:space="preserve">with relevant </w:t>
      </w:r>
      <w:r w:rsidR="00C37BFE" w:rsidRPr="00A35E66">
        <w:t>page reference or extract</w:t>
      </w:r>
      <w:r w:rsidR="00167F49" w:rsidRPr="00A35E66">
        <w:t xml:space="preserve"> provided</w:t>
      </w:r>
      <w:r w:rsidR="00C37BFE" w:rsidRPr="00A35E66">
        <w:t>).</w:t>
      </w:r>
    </w:p>
    <w:p w:rsidR="004F0525" w:rsidRPr="00800EEE" w:rsidRDefault="004F0525" w:rsidP="00DA06D8">
      <w:pPr>
        <w:pStyle w:val="BodyText"/>
        <w:pBdr>
          <w:top w:val="single" w:sz="4" w:space="1" w:color="auto"/>
          <w:left w:val="single" w:sz="4" w:space="4" w:color="auto"/>
          <w:bottom w:val="single" w:sz="4" w:space="1" w:color="auto"/>
          <w:right w:val="single" w:sz="4" w:space="4" w:color="auto"/>
        </w:pBdr>
        <w:rPr>
          <w:highlight w:val="yellow"/>
        </w:rPr>
      </w:pPr>
      <w:r w:rsidRPr="00800EEE">
        <w:rPr>
          <w:highlight w:val="yellow"/>
        </w:rPr>
        <w:t xml:space="preserve">Whilst </w:t>
      </w:r>
      <w:r w:rsidR="004A67AD" w:rsidRPr="00800EEE">
        <w:rPr>
          <w:highlight w:val="yellow"/>
        </w:rPr>
        <w:t>Council does not have a formal Hardship Policy</w:t>
      </w:r>
      <w:r w:rsidRPr="00800EEE">
        <w:rPr>
          <w:highlight w:val="yellow"/>
        </w:rPr>
        <w:t xml:space="preserve"> in place, it does have</w:t>
      </w:r>
      <w:r w:rsidR="00174C1B">
        <w:rPr>
          <w:highlight w:val="yellow"/>
        </w:rPr>
        <w:t xml:space="preserve"> a</w:t>
      </w:r>
      <w:r w:rsidRPr="00800EEE">
        <w:rPr>
          <w:highlight w:val="yellow"/>
        </w:rPr>
        <w:t xml:space="preserve"> </w:t>
      </w:r>
      <w:r w:rsidR="00E04BBC">
        <w:rPr>
          <w:highlight w:val="yellow"/>
        </w:rPr>
        <w:t xml:space="preserve">Pensioner Policy </w:t>
      </w:r>
      <w:r w:rsidRPr="00800EEE">
        <w:rPr>
          <w:highlight w:val="yellow"/>
        </w:rPr>
        <w:t xml:space="preserve">in place to help manage </w:t>
      </w:r>
      <w:r w:rsidR="00E04BBC">
        <w:rPr>
          <w:highlight w:val="yellow"/>
        </w:rPr>
        <w:t>pensioners</w:t>
      </w:r>
      <w:r w:rsidRPr="00800EEE">
        <w:rPr>
          <w:highlight w:val="yellow"/>
        </w:rPr>
        <w:t xml:space="preserve"> who are experiencing difficulties paying their </w:t>
      </w:r>
      <w:proofErr w:type="gramStart"/>
      <w:r w:rsidRPr="00800EEE">
        <w:rPr>
          <w:highlight w:val="yellow"/>
        </w:rPr>
        <w:t>rates.</w:t>
      </w:r>
      <w:proofErr w:type="gramEnd"/>
      <w:r w:rsidRPr="00800EEE">
        <w:rPr>
          <w:highlight w:val="yellow"/>
        </w:rPr>
        <w:t xml:space="preserve"> </w:t>
      </w:r>
    </w:p>
    <w:p w:rsidR="003E1BCD" w:rsidRDefault="00174C1B" w:rsidP="00DA06D8">
      <w:pPr>
        <w:pStyle w:val="BodyText"/>
        <w:pBdr>
          <w:top w:val="single" w:sz="4" w:space="1" w:color="auto"/>
          <w:left w:val="single" w:sz="4" w:space="4" w:color="auto"/>
          <w:bottom w:val="single" w:sz="4" w:space="1" w:color="auto"/>
          <w:right w:val="single" w:sz="4" w:space="4" w:color="auto"/>
        </w:pBdr>
        <w:rPr>
          <w:highlight w:val="yellow"/>
        </w:rPr>
      </w:pPr>
      <w:r>
        <w:rPr>
          <w:highlight w:val="yellow"/>
        </w:rPr>
        <w:t xml:space="preserve">Council also has a Debt Recovery Policy that outlines Council’s general philosophy towards recovering outstanding debts. </w:t>
      </w:r>
      <w:r w:rsidR="00FB237F" w:rsidRPr="00800EEE">
        <w:rPr>
          <w:highlight w:val="yellow"/>
        </w:rPr>
        <w:t xml:space="preserve">Negotiated ‘payment arrangements’ are part and parcel of the service we offer customers who are experiencing financial problems. Those payment arrangements typically </w:t>
      </w:r>
      <w:r w:rsidR="003E1BCD">
        <w:rPr>
          <w:highlight w:val="yellow"/>
        </w:rPr>
        <w:t xml:space="preserve">provide </w:t>
      </w:r>
      <w:r w:rsidR="00FB237F" w:rsidRPr="00800EEE">
        <w:rPr>
          <w:highlight w:val="yellow"/>
        </w:rPr>
        <w:t>customer</w:t>
      </w:r>
      <w:r w:rsidR="003E1BCD">
        <w:rPr>
          <w:highlight w:val="yellow"/>
        </w:rPr>
        <w:t>s</w:t>
      </w:r>
      <w:r w:rsidR="00FB237F" w:rsidRPr="00800EEE">
        <w:rPr>
          <w:highlight w:val="yellow"/>
        </w:rPr>
        <w:t xml:space="preserve"> </w:t>
      </w:r>
      <w:r w:rsidR="003E1BCD">
        <w:rPr>
          <w:highlight w:val="yellow"/>
        </w:rPr>
        <w:t>with sufficient time to meet their outstanding commitments.</w:t>
      </w:r>
    </w:p>
    <w:p w:rsidR="003766F1" w:rsidRPr="00800EEE" w:rsidRDefault="003766F1" w:rsidP="00DA06D8">
      <w:pPr>
        <w:pStyle w:val="BodyText"/>
        <w:pBdr>
          <w:top w:val="single" w:sz="4" w:space="1" w:color="auto"/>
          <w:left w:val="single" w:sz="4" w:space="4" w:color="auto"/>
          <w:bottom w:val="single" w:sz="4" w:space="1" w:color="auto"/>
          <w:right w:val="single" w:sz="4" w:space="4" w:color="auto"/>
        </w:pBdr>
        <w:rPr>
          <w:highlight w:val="yellow"/>
        </w:rPr>
      </w:pPr>
      <w:r w:rsidRPr="00800EEE">
        <w:rPr>
          <w:highlight w:val="yellow"/>
        </w:rPr>
        <w:t xml:space="preserve">One of the concerns Council had with the proposed SRV was the impact it would have on pensioners. Following public feedback, Council resolved to offer a fixed Voluntary Rebate of $25.50 per annum to help eligible pensioners </w:t>
      </w:r>
      <w:r w:rsidR="00800EEE" w:rsidRPr="00800EEE">
        <w:rPr>
          <w:highlight w:val="yellow"/>
        </w:rPr>
        <w:t xml:space="preserve">cope </w:t>
      </w:r>
      <w:r w:rsidRPr="00800EEE">
        <w:rPr>
          <w:highlight w:val="yellow"/>
        </w:rPr>
        <w:t xml:space="preserve">with the financial impost this </w:t>
      </w:r>
      <w:r w:rsidR="00800EEE" w:rsidRPr="00800EEE">
        <w:rPr>
          <w:highlight w:val="yellow"/>
        </w:rPr>
        <w:t xml:space="preserve">additional </w:t>
      </w:r>
      <w:r w:rsidRPr="00800EEE">
        <w:rPr>
          <w:highlight w:val="yellow"/>
        </w:rPr>
        <w:t xml:space="preserve">rate increase would </w:t>
      </w:r>
      <w:r w:rsidR="00800EEE" w:rsidRPr="00800EEE">
        <w:rPr>
          <w:highlight w:val="yellow"/>
        </w:rPr>
        <w:t>have on them</w:t>
      </w:r>
      <w:r w:rsidRPr="00800EEE">
        <w:rPr>
          <w:highlight w:val="yellow"/>
        </w:rPr>
        <w:t>.</w:t>
      </w:r>
    </w:p>
    <w:p w:rsidR="00800EEE" w:rsidRDefault="00800EEE" w:rsidP="00DA06D8">
      <w:pPr>
        <w:pStyle w:val="BodyText"/>
        <w:pBdr>
          <w:top w:val="single" w:sz="4" w:space="1" w:color="auto"/>
          <w:left w:val="single" w:sz="4" w:space="4" w:color="auto"/>
          <w:bottom w:val="single" w:sz="4" w:space="1" w:color="auto"/>
          <w:right w:val="single" w:sz="4" w:space="4" w:color="auto"/>
        </w:pBdr>
        <w:rPr>
          <w:highlight w:val="yellow"/>
        </w:rPr>
      </w:pPr>
      <w:r w:rsidRPr="00800EEE">
        <w:rPr>
          <w:highlight w:val="yellow"/>
        </w:rPr>
        <w:t>From time to time, Council also receives claims for Financial Hardship f</w:t>
      </w:r>
      <w:r w:rsidR="002105EA">
        <w:rPr>
          <w:highlight w:val="yellow"/>
        </w:rPr>
        <w:t>r</w:t>
      </w:r>
      <w:r w:rsidRPr="00800EEE">
        <w:rPr>
          <w:highlight w:val="yellow"/>
        </w:rPr>
        <w:t>om ratepayers. A copy of the form is attached.</w:t>
      </w:r>
    </w:p>
    <w:p w:rsidR="00611526" w:rsidRPr="00800EEE" w:rsidRDefault="00611526" w:rsidP="00DA06D8">
      <w:pPr>
        <w:pStyle w:val="BodyText"/>
        <w:pBdr>
          <w:top w:val="single" w:sz="4" w:space="1" w:color="auto"/>
          <w:left w:val="single" w:sz="4" w:space="4" w:color="auto"/>
          <w:bottom w:val="single" w:sz="4" w:space="1" w:color="auto"/>
          <w:right w:val="single" w:sz="4" w:space="4" w:color="auto"/>
        </w:pBdr>
        <w:rPr>
          <w:highlight w:val="yellow"/>
        </w:rPr>
      </w:pPr>
    </w:p>
    <w:p w:rsidR="00800EEE" w:rsidRPr="00800EEE" w:rsidRDefault="00800EEE" w:rsidP="00800EEE">
      <w:pPr>
        <w:pStyle w:val="BodyText"/>
        <w:pBdr>
          <w:top w:val="single" w:sz="4" w:space="1" w:color="auto"/>
          <w:left w:val="single" w:sz="4" w:space="4" w:color="auto"/>
          <w:bottom w:val="single" w:sz="4" w:space="1" w:color="auto"/>
          <w:right w:val="single" w:sz="4" w:space="4" w:color="auto"/>
        </w:pBdr>
        <w:rPr>
          <w:b/>
          <w:highlight w:val="yellow"/>
        </w:rPr>
      </w:pPr>
      <w:r w:rsidRPr="00800EEE">
        <w:rPr>
          <w:b/>
          <w:sz w:val="32"/>
          <w:szCs w:val="32"/>
          <w:highlight w:val="yellow"/>
        </w:rPr>
        <w:lastRenderedPageBreak/>
        <w:t>Reference Information</w:t>
      </w:r>
      <w:r w:rsidRPr="00800EEE">
        <w:rPr>
          <w:b/>
          <w:highlight w:val="yellow"/>
        </w:rPr>
        <w:t>:</w:t>
      </w:r>
    </w:p>
    <w:p w:rsidR="00800EEE" w:rsidRPr="005819FE" w:rsidRDefault="005819FE" w:rsidP="00800EEE">
      <w:pPr>
        <w:pStyle w:val="BodyText"/>
        <w:pBdr>
          <w:top w:val="single" w:sz="4" w:space="1" w:color="auto"/>
          <w:left w:val="single" w:sz="4" w:space="4" w:color="auto"/>
          <w:bottom w:val="single" w:sz="4" w:space="1" w:color="auto"/>
          <w:right w:val="single" w:sz="4" w:space="4" w:color="auto"/>
        </w:pBdr>
        <w:rPr>
          <w:b/>
          <w:highlight w:val="yellow"/>
          <w:u w:val="single"/>
        </w:rPr>
      </w:pPr>
      <w:r w:rsidRPr="005819FE">
        <w:rPr>
          <w:b/>
          <w:highlight w:val="yellow"/>
          <w:u w:val="single"/>
        </w:rPr>
        <w:t>Debt Recovery Policy (</w:t>
      </w:r>
      <w:r w:rsidR="00404786">
        <w:rPr>
          <w:b/>
          <w:highlight w:val="yellow"/>
          <w:u w:val="single"/>
        </w:rPr>
        <w:t>Appendix</w:t>
      </w:r>
      <w:r w:rsidRPr="005819FE">
        <w:rPr>
          <w:b/>
          <w:highlight w:val="yellow"/>
          <w:u w:val="single"/>
        </w:rPr>
        <w:t xml:space="preserve"> </w:t>
      </w:r>
      <w:r w:rsidR="00F20531">
        <w:rPr>
          <w:b/>
          <w:highlight w:val="yellow"/>
          <w:u w:val="single"/>
        </w:rPr>
        <w:t>1</w:t>
      </w:r>
      <w:r w:rsidR="00C900DC">
        <w:rPr>
          <w:b/>
          <w:highlight w:val="yellow"/>
          <w:u w:val="single"/>
        </w:rPr>
        <w:t>6</w:t>
      </w:r>
      <w:r w:rsidRPr="005819FE">
        <w:rPr>
          <w:b/>
          <w:highlight w:val="yellow"/>
          <w:u w:val="single"/>
        </w:rPr>
        <w:t>)</w:t>
      </w:r>
      <w:r w:rsidR="00611526">
        <w:rPr>
          <w:b/>
          <w:highlight w:val="yellow"/>
          <w:u w:val="single"/>
        </w:rPr>
        <w:t xml:space="preserve"> – Within Appendix 24</w:t>
      </w:r>
    </w:p>
    <w:p w:rsidR="005819FE" w:rsidRPr="005819FE" w:rsidRDefault="005819FE" w:rsidP="00800EEE">
      <w:pPr>
        <w:pStyle w:val="BodyText"/>
        <w:pBdr>
          <w:top w:val="single" w:sz="4" w:space="1" w:color="auto"/>
          <w:left w:val="single" w:sz="4" w:space="4" w:color="auto"/>
          <w:bottom w:val="single" w:sz="4" w:space="1" w:color="auto"/>
          <w:right w:val="single" w:sz="4" w:space="4" w:color="auto"/>
        </w:pBdr>
        <w:rPr>
          <w:b/>
          <w:highlight w:val="yellow"/>
          <w:u w:val="single"/>
        </w:rPr>
      </w:pPr>
      <w:r w:rsidRPr="005819FE">
        <w:rPr>
          <w:b/>
          <w:highlight w:val="yellow"/>
          <w:u w:val="single"/>
        </w:rPr>
        <w:t>Pensioner Policy (</w:t>
      </w:r>
      <w:r w:rsidR="00404786">
        <w:rPr>
          <w:b/>
          <w:highlight w:val="yellow"/>
          <w:u w:val="single"/>
        </w:rPr>
        <w:t>Appendix</w:t>
      </w:r>
      <w:r w:rsidRPr="005819FE">
        <w:rPr>
          <w:b/>
          <w:highlight w:val="yellow"/>
          <w:u w:val="single"/>
        </w:rPr>
        <w:t xml:space="preserve"> </w:t>
      </w:r>
      <w:r w:rsidR="00F20531">
        <w:rPr>
          <w:b/>
          <w:highlight w:val="yellow"/>
          <w:u w:val="single"/>
        </w:rPr>
        <w:t>1</w:t>
      </w:r>
      <w:r w:rsidR="00C900DC">
        <w:rPr>
          <w:b/>
          <w:highlight w:val="yellow"/>
          <w:u w:val="single"/>
        </w:rPr>
        <w:t>7</w:t>
      </w:r>
      <w:r w:rsidRPr="005819FE">
        <w:rPr>
          <w:b/>
          <w:highlight w:val="yellow"/>
          <w:u w:val="single"/>
        </w:rPr>
        <w:t>)</w:t>
      </w:r>
      <w:r w:rsidR="00611526">
        <w:rPr>
          <w:b/>
          <w:highlight w:val="yellow"/>
          <w:u w:val="single"/>
        </w:rPr>
        <w:t xml:space="preserve"> – Within Appendix 24</w:t>
      </w:r>
    </w:p>
    <w:p w:rsidR="003C4957" w:rsidRPr="00A35E66" w:rsidRDefault="00800EEE" w:rsidP="00DA06D8">
      <w:pPr>
        <w:pStyle w:val="BodyText"/>
        <w:pBdr>
          <w:top w:val="single" w:sz="4" w:space="1" w:color="auto"/>
          <w:left w:val="single" w:sz="4" w:space="4" w:color="auto"/>
          <w:bottom w:val="single" w:sz="4" w:space="1" w:color="auto"/>
          <w:right w:val="single" w:sz="4" w:space="4" w:color="auto"/>
        </w:pBdr>
      </w:pPr>
      <w:r>
        <w:rPr>
          <w:b/>
          <w:highlight w:val="yellow"/>
          <w:u w:val="single"/>
        </w:rPr>
        <w:t>Financial Hardship Form</w:t>
      </w:r>
      <w:r w:rsidRPr="004C1B98">
        <w:rPr>
          <w:b/>
          <w:highlight w:val="yellow"/>
          <w:u w:val="single"/>
        </w:rPr>
        <w:t xml:space="preserve"> (</w:t>
      </w:r>
      <w:r w:rsidR="00404786">
        <w:rPr>
          <w:b/>
          <w:highlight w:val="yellow"/>
          <w:u w:val="single"/>
        </w:rPr>
        <w:t>Appendix</w:t>
      </w:r>
      <w:r w:rsidRPr="004C1B98">
        <w:rPr>
          <w:b/>
          <w:highlight w:val="yellow"/>
          <w:u w:val="single"/>
        </w:rPr>
        <w:t xml:space="preserve"> </w:t>
      </w:r>
      <w:r w:rsidR="00F20531">
        <w:rPr>
          <w:b/>
          <w:highlight w:val="yellow"/>
          <w:u w:val="single"/>
        </w:rPr>
        <w:t>1</w:t>
      </w:r>
      <w:r w:rsidR="00C900DC">
        <w:rPr>
          <w:b/>
          <w:highlight w:val="yellow"/>
          <w:u w:val="single"/>
        </w:rPr>
        <w:t>8</w:t>
      </w:r>
      <w:r w:rsidRPr="004C1B98">
        <w:rPr>
          <w:b/>
          <w:highlight w:val="yellow"/>
          <w:u w:val="single"/>
        </w:rPr>
        <w:t>)</w:t>
      </w:r>
    </w:p>
    <w:p w:rsidR="00D60EA5" w:rsidRPr="00A35E66" w:rsidRDefault="00D60EA5" w:rsidP="00D60EA5">
      <w:pPr>
        <w:pStyle w:val="Heading1"/>
      </w:pPr>
      <w:bookmarkStart w:id="34" w:name="_Toc401138378"/>
      <w:r w:rsidRPr="00A35E66">
        <w:t xml:space="preserve">Assessment criterion 4: </w:t>
      </w:r>
      <w:r w:rsidR="00CA35DF" w:rsidRPr="00A35E66">
        <w:t>Public exhibition of relevant IP&amp;R documents</w:t>
      </w:r>
      <w:bookmarkEnd w:id="34"/>
    </w:p>
    <w:p w:rsidR="00D60EA5" w:rsidRPr="00A35E66" w:rsidRDefault="00B73C72" w:rsidP="00D60EA5">
      <w:pPr>
        <w:pStyle w:val="BodyText"/>
        <w:spacing w:after="240"/>
      </w:pPr>
      <w:r w:rsidRPr="00A35E66">
        <w:t>Criterion 4 within t</w:t>
      </w:r>
      <w:r w:rsidR="00D60EA5" w:rsidRPr="00A35E66">
        <w:t xml:space="preserve">he </w:t>
      </w:r>
      <w:r w:rsidR="00540000" w:rsidRPr="00A35E66">
        <w:t>O</w:t>
      </w:r>
      <w:r w:rsidR="00D60EA5" w:rsidRPr="00A35E66">
        <w:t xml:space="preserve">LG Guidelines </w:t>
      </w:r>
      <w:r w:rsidRPr="00A35E66">
        <w:t>i</w:t>
      </w:r>
      <w:r w:rsidR="00D60EA5" w:rsidRPr="00A35E66">
        <w:t>s:</w:t>
      </w:r>
    </w:p>
    <w:p w:rsidR="00D60EA5" w:rsidRPr="00A35E66" w:rsidRDefault="00D60EA5" w:rsidP="009F6444">
      <w:pPr>
        <w:pStyle w:val="Quote"/>
        <w:rPr>
          <w:rFonts w:ascii="Arial" w:hAnsi="Arial"/>
          <w:i/>
        </w:rPr>
      </w:pPr>
      <w:r w:rsidRPr="00A35E66">
        <w:rPr>
          <w:rFonts w:ascii="Arial" w:hAnsi="Arial"/>
          <w:i/>
        </w:rPr>
        <w:t xml:space="preserve">The </w:t>
      </w:r>
      <w:r w:rsidR="007F0257" w:rsidRPr="00A35E66">
        <w:rPr>
          <w:rFonts w:ascii="Arial" w:hAnsi="Arial"/>
          <w:i/>
        </w:rPr>
        <w:t xml:space="preserve">relevant </w:t>
      </w:r>
      <w:r w:rsidR="00B0411A" w:rsidRPr="00A35E66">
        <w:rPr>
          <w:rFonts w:ascii="Arial" w:hAnsi="Arial"/>
          <w:i/>
        </w:rPr>
        <w:t>IP&amp;R documents</w:t>
      </w:r>
      <w:r w:rsidR="001F1E22" w:rsidRPr="00A35E66">
        <w:rPr>
          <w:rStyle w:val="FootnoteReference"/>
          <w:i/>
        </w:rPr>
        <w:footnoteReference w:id="5"/>
      </w:r>
      <w:r w:rsidR="00B0411A" w:rsidRPr="00A35E66">
        <w:rPr>
          <w:rFonts w:ascii="Arial" w:hAnsi="Arial"/>
          <w:i/>
        </w:rPr>
        <w:t xml:space="preserve"> must be exhibited (where required), approved and adopted by the council before the council applies to IPART for a special variation to </w:t>
      </w:r>
      <w:r w:rsidR="00E85A60" w:rsidRPr="00A35E66">
        <w:rPr>
          <w:rFonts w:ascii="Arial" w:hAnsi="Arial"/>
          <w:i/>
        </w:rPr>
        <w:t>its</w:t>
      </w:r>
      <w:r w:rsidR="00B0411A" w:rsidRPr="00A35E66">
        <w:rPr>
          <w:rFonts w:ascii="Arial" w:hAnsi="Arial"/>
          <w:i/>
        </w:rPr>
        <w:t xml:space="preserve"> general revenue.</w:t>
      </w:r>
    </w:p>
    <w:p w:rsidR="00F91583" w:rsidRPr="00A35E66" w:rsidRDefault="00F91583" w:rsidP="00F91583">
      <w:pPr>
        <w:pStyle w:val="BodyText"/>
      </w:pPr>
      <w:r w:rsidRPr="00A35E66">
        <w:t xml:space="preserve">Briefly outline the significant IP&amp;R processes the council has undertaken to reach the decision to apply for a special variation.  Include the details of and dates for key document revisions, </w:t>
      </w:r>
      <w:r w:rsidR="00DB560E" w:rsidRPr="00A35E66">
        <w:t xml:space="preserve">public </w:t>
      </w:r>
      <w:r w:rsidRPr="00A35E66">
        <w:t>exhibition period(s) and the date(s) that the council adopted the relevant IP&amp;R documents.</w:t>
      </w:r>
    </w:p>
    <w:p w:rsidR="00DC1309" w:rsidRPr="00A35E66" w:rsidRDefault="00AF2242" w:rsidP="007F0257">
      <w:pPr>
        <w:pStyle w:val="BodyText"/>
        <w:rPr>
          <w:rFonts w:cs="Arial"/>
          <w:color w:val="000000"/>
        </w:rPr>
      </w:pPr>
      <w:r w:rsidRPr="00A35E66">
        <w:rPr>
          <w:rFonts w:cs="Arial"/>
          <w:color w:val="000000"/>
        </w:rPr>
        <w:t xml:space="preserve">You </w:t>
      </w:r>
      <w:r w:rsidR="00F91583" w:rsidRPr="00A35E66">
        <w:rPr>
          <w:rFonts w:cs="Arial"/>
          <w:color w:val="000000"/>
        </w:rPr>
        <w:t>should</w:t>
      </w:r>
      <w:r w:rsidRPr="00A35E66">
        <w:rPr>
          <w:rFonts w:cs="Arial"/>
          <w:color w:val="000000"/>
        </w:rPr>
        <w:t xml:space="preserve"> also include extracts from council minutes </w:t>
      </w:r>
      <w:r w:rsidR="00994B9D" w:rsidRPr="00A35E66">
        <w:rPr>
          <w:rFonts w:cs="Arial"/>
          <w:color w:val="000000"/>
        </w:rPr>
        <w:t>as</w:t>
      </w:r>
      <w:r w:rsidRPr="00A35E66">
        <w:rPr>
          <w:rFonts w:cs="Arial"/>
          <w:color w:val="000000"/>
        </w:rPr>
        <w:t xml:space="preserve"> evidence that the documents were adopted.</w:t>
      </w:r>
      <w:r w:rsidR="007F0257" w:rsidRPr="00A35E66">
        <w:rPr>
          <w:rFonts w:cs="Arial"/>
          <w:color w:val="000000"/>
        </w:rPr>
        <w:t xml:space="preserve"> </w:t>
      </w:r>
    </w:p>
    <w:p w:rsidR="00DC1309" w:rsidRDefault="00B73C72" w:rsidP="00040713">
      <w:pPr>
        <w:pStyle w:val="BodyText"/>
        <w:rPr>
          <w:rFonts w:cs="Arial"/>
          <w:color w:val="000000"/>
        </w:rPr>
      </w:pPr>
      <w:r w:rsidRPr="00A35E66">
        <w:rPr>
          <w:rFonts w:cs="Arial"/>
          <w:color w:val="000000"/>
        </w:rPr>
        <w:t xml:space="preserve">The council is reminded that </w:t>
      </w:r>
      <w:r w:rsidR="000111B5" w:rsidRPr="00A35E66">
        <w:rPr>
          <w:rFonts w:cs="Arial"/>
          <w:color w:val="000000"/>
        </w:rPr>
        <w:t>amendments</w:t>
      </w:r>
      <w:r w:rsidR="00040713" w:rsidRPr="00A35E66">
        <w:rPr>
          <w:rFonts w:cs="Arial"/>
          <w:color w:val="000000"/>
        </w:rPr>
        <w:t xml:space="preserve"> to the C</w:t>
      </w:r>
      <w:r w:rsidR="00DC1309" w:rsidRPr="00A35E66">
        <w:rPr>
          <w:rFonts w:cs="Arial"/>
          <w:color w:val="000000"/>
        </w:rPr>
        <w:t>ommunity Strategic Plan and Delivery Program</w:t>
      </w:r>
      <w:r w:rsidR="00040713" w:rsidRPr="00A35E66">
        <w:rPr>
          <w:rFonts w:cs="Arial"/>
          <w:color w:val="000000"/>
        </w:rPr>
        <w:t xml:space="preserve"> require </w:t>
      </w:r>
      <w:r w:rsidR="00DB560E" w:rsidRPr="00A35E66">
        <w:rPr>
          <w:rFonts w:cs="Arial"/>
          <w:color w:val="000000"/>
        </w:rPr>
        <w:t xml:space="preserve">public </w:t>
      </w:r>
      <w:r w:rsidR="007970EE" w:rsidRPr="00A35E66">
        <w:rPr>
          <w:rFonts w:cs="Arial"/>
          <w:color w:val="000000"/>
        </w:rPr>
        <w:t xml:space="preserve">exhibition for at least 28 days prior to adoption, while amendments to </w:t>
      </w:r>
      <w:r w:rsidR="00DC1309" w:rsidRPr="00A35E66">
        <w:rPr>
          <w:rFonts w:cs="Arial"/>
          <w:color w:val="000000"/>
        </w:rPr>
        <w:t xml:space="preserve">the Long Term Financial Plan and Asset Management Plan/s do not require </w:t>
      </w:r>
      <w:r w:rsidRPr="00A35E66">
        <w:rPr>
          <w:rFonts w:cs="Arial"/>
          <w:color w:val="000000"/>
        </w:rPr>
        <w:t xml:space="preserve">public </w:t>
      </w:r>
      <w:r w:rsidR="007970EE" w:rsidRPr="00A35E66">
        <w:rPr>
          <w:rFonts w:cs="Arial"/>
          <w:color w:val="000000"/>
        </w:rPr>
        <w:t>exhibit</w:t>
      </w:r>
      <w:r w:rsidRPr="00A35E66">
        <w:rPr>
          <w:rFonts w:cs="Arial"/>
          <w:color w:val="000000"/>
        </w:rPr>
        <w:t>ion</w:t>
      </w:r>
      <w:r w:rsidR="00040713" w:rsidRPr="00A35E66">
        <w:rPr>
          <w:rFonts w:cs="Arial"/>
          <w:color w:val="000000"/>
        </w:rPr>
        <w:t>.</w:t>
      </w:r>
      <w:r w:rsidR="00AF2242" w:rsidRPr="00A35E66">
        <w:rPr>
          <w:rStyle w:val="FootnoteReference"/>
          <w:rFonts w:cs="Arial"/>
        </w:rPr>
        <w:footnoteReference w:id="6"/>
      </w:r>
    </w:p>
    <w:p w:rsidR="008D42C1" w:rsidRPr="00637C60" w:rsidRDefault="008D42C1"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t xml:space="preserve">Council’s Asset Management Plans have continued to evolve since Integrated Planning and Reporting was formally introduced in 2010/11. In particular, Council’s asset management systems have become more sophisticated </w:t>
      </w:r>
      <w:r w:rsidR="00D80CA8" w:rsidRPr="00637C60">
        <w:rPr>
          <w:highlight w:val="yellow"/>
        </w:rPr>
        <w:t xml:space="preserve">and </w:t>
      </w:r>
      <w:r w:rsidR="00B15F65">
        <w:rPr>
          <w:highlight w:val="yellow"/>
        </w:rPr>
        <w:t xml:space="preserve">the capturing of </w:t>
      </w:r>
      <w:r w:rsidR="00D80CA8" w:rsidRPr="00637C60">
        <w:rPr>
          <w:highlight w:val="yellow"/>
        </w:rPr>
        <w:t xml:space="preserve">infrastructure assets condition-based assessments more </w:t>
      </w:r>
      <w:r w:rsidR="00B15F65">
        <w:rPr>
          <w:highlight w:val="yellow"/>
        </w:rPr>
        <w:t>systematic</w:t>
      </w:r>
      <w:r w:rsidRPr="00637C60">
        <w:rPr>
          <w:highlight w:val="yellow"/>
        </w:rPr>
        <w:t>.</w:t>
      </w:r>
    </w:p>
    <w:p w:rsidR="00B15F65" w:rsidRDefault="00084C17"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t xml:space="preserve">In developing the Asset Management Plans for 2014/15, Council undertook an exhaustive examination of its primary asset categories (transport, drainage, </w:t>
      </w:r>
      <w:proofErr w:type="spellStart"/>
      <w:r w:rsidRPr="00637C60">
        <w:rPr>
          <w:highlight w:val="yellow"/>
        </w:rPr>
        <w:t>carparks</w:t>
      </w:r>
      <w:proofErr w:type="spellEnd"/>
      <w:r w:rsidRPr="00637C60">
        <w:rPr>
          <w:highlight w:val="yellow"/>
        </w:rPr>
        <w:t xml:space="preserve"> etc)</w:t>
      </w:r>
      <w:r w:rsidR="004F4132" w:rsidRPr="00637C60">
        <w:rPr>
          <w:highlight w:val="yellow"/>
        </w:rPr>
        <w:t xml:space="preserve"> that involved comprehensive reconciliations between the cost of infrastructure renewal and available funding levels. </w:t>
      </w:r>
    </w:p>
    <w:p w:rsidR="008A782D" w:rsidRPr="00637C60" w:rsidRDefault="004F4132"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lastRenderedPageBreak/>
        <w:t xml:space="preserve">However, the focus was not just </w:t>
      </w:r>
      <w:proofErr w:type="gramStart"/>
      <w:r w:rsidRPr="00637C60">
        <w:rPr>
          <w:highlight w:val="yellow"/>
        </w:rPr>
        <w:t>renewal,</w:t>
      </w:r>
      <w:proofErr w:type="gramEnd"/>
      <w:r w:rsidRPr="00637C60">
        <w:rPr>
          <w:highlight w:val="yellow"/>
        </w:rPr>
        <w:t xml:space="preserve"> it was on maintenance, operational costs and the cost of new priority capital projects. The result of this work is best </w:t>
      </w:r>
      <w:r w:rsidR="008A782D" w:rsidRPr="00637C60">
        <w:rPr>
          <w:highlight w:val="yellow"/>
        </w:rPr>
        <w:t>illustrated</w:t>
      </w:r>
      <w:r w:rsidRPr="00637C60">
        <w:rPr>
          <w:highlight w:val="yellow"/>
        </w:rPr>
        <w:t xml:space="preserve"> by the</w:t>
      </w:r>
      <w:r w:rsidR="00282942" w:rsidRPr="00637C60">
        <w:rPr>
          <w:highlight w:val="yellow"/>
        </w:rPr>
        <w:t xml:space="preserve"> </w:t>
      </w:r>
      <w:r w:rsidR="00404786">
        <w:rPr>
          <w:highlight w:val="yellow"/>
        </w:rPr>
        <w:t>Appendix</w:t>
      </w:r>
      <w:r w:rsidR="00282942" w:rsidRPr="00637C60">
        <w:rPr>
          <w:highlight w:val="yellow"/>
        </w:rPr>
        <w:t xml:space="preserve"> titled “What is Our Annual Shortfall</w:t>
      </w:r>
      <w:r w:rsidR="008A782D" w:rsidRPr="00637C60">
        <w:rPr>
          <w:highlight w:val="yellow"/>
        </w:rPr>
        <w:t>?</w:t>
      </w:r>
      <w:r w:rsidR="00282942" w:rsidRPr="00637C60">
        <w:rPr>
          <w:highlight w:val="yellow"/>
        </w:rPr>
        <w:t>” contained within Council’s Resource Strategy</w:t>
      </w:r>
      <w:r w:rsidR="008A782D" w:rsidRPr="00637C60">
        <w:rPr>
          <w:highlight w:val="yellow"/>
        </w:rPr>
        <w:t>.</w:t>
      </w:r>
    </w:p>
    <w:p w:rsidR="00357BD5" w:rsidRPr="00637C60" w:rsidRDefault="008A782D"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t xml:space="preserve">Council considered a report </w:t>
      </w:r>
      <w:r w:rsidR="00E3431D" w:rsidRPr="00637C60">
        <w:rPr>
          <w:highlight w:val="yellow"/>
        </w:rPr>
        <w:t>on 24 June 2014 titled “Infrastructure Asset Renewal – A Case for Deliberative Democracy”.</w:t>
      </w:r>
      <w:r w:rsidR="00084C17" w:rsidRPr="00637C60">
        <w:rPr>
          <w:highlight w:val="yellow"/>
        </w:rPr>
        <w:t xml:space="preserve">  </w:t>
      </w:r>
      <w:r w:rsidR="00E3431D" w:rsidRPr="00637C60">
        <w:rPr>
          <w:highlight w:val="yellow"/>
        </w:rPr>
        <w:t>This repor</w:t>
      </w:r>
      <w:r w:rsidR="00615E7D" w:rsidRPr="00637C60">
        <w:rPr>
          <w:highlight w:val="yellow"/>
        </w:rPr>
        <w:t xml:space="preserve">t put into context the picture Council’s Asset Management Plans were painting. Council resolved to form a Citizens Jury to investigate the matter with a view to testing the assumptions Council had made in developing the Plans and determining </w:t>
      </w:r>
      <w:r w:rsidR="00357BD5" w:rsidRPr="00637C60">
        <w:rPr>
          <w:highlight w:val="yellow"/>
        </w:rPr>
        <w:t xml:space="preserve">an appropriate level of service </w:t>
      </w:r>
      <w:r w:rsidR="00615E7D" w:rsidRPr="00637C60">
        <w:rPr>
          <w:highlight w:val="yellow"/>
        </w:rPr>
        <w:t xml:space="preserve">for </w:t>
      </w:r>
      <w:r w:rsidR="00357BD5" w:rsidRPr="00637C60">
        <w:rPr>
          <w:highlight w:val="yellow"/>
        </w:rPr>
        <w:t xml:space="preserve">each of Council’s major </w:t>
      </w:r>
      <w:r w:rsidR="00615E7D" w:rsidRPr="00637C60">
        <w:rPr>
          <w:highlight w:val="yellow"/>
        </w:rPr>
        <w:t>infrastructure asset</w:t>
      </w:r>
      <w:r w:rsidR="00357BD5" w:rsidRPr="00637C60">
        <w:rPr>
          <w:highlight w:val="yellow"/>
        </w:rPr>
        <w:t xml:space="preserve"> categories.</w:t>
      </w:r>
    </w:p>
    <w:p w:rsidR="00D61D87" w:rsidRPr="00637C60" w:rsidRDefault="00357BD5"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t>New service levels were established by the Jury</w:t>
      </w:r>
      <w:r w:rsidR="00D61D87" w:rsidRPr="00637C60">
        <w:rPr>
          <w:highlight w:val="yellow"/>
        </w:rPr>
        <w:t xml:space="preserve"> and adopted by Council. </w:t>
      </w:r>
      <w:r w:rsidRPr="00637C60">
        <w:rPr>
          <w:highlight w:val="yellow"/>
        </w:rPr>
        <w:t xml:space="preserve"> </w:t>
      </w:r>
      <w:r w:rsidR="00D61D87" w:rsidRPr="00637C60">
        <w:rPr>
          <w:highlight w:val="yellow"/>
        </w:rPr>
        <w:t xml:space="preserve">Accordingly, </w:t>
      </w:r>
      <w:r w:rsidRPr="00637C60">
        <w:rPr>
          <w:highlight w:val="yellow"/>
        </w:rPr>
        <w:t xml:space="preserve">Council’s IP&amp;R documents were updated to reflect </w:t>
      </w:r>
      <w:r w:rsidR="00D61D87" w:rsidRPr="00637C60">
        <w:rPr>
          <w:highlight w:val="yellow"/>
        </w:rPr>
        <w:t>the new service levels and were placed on public exhibition f</w:t>
      </w:r>
      <w:r w:rsidR="000A2F8A" w:rsidRPr="00637C60">
        <w:rPr>
          <w:highlight w:val="yellow"/>
        </w:rPr>
        <w:t>rom 5 December 2014 f</w:t>
      </w:r>
      <w:r w:rsidR="00D61D87" w:rsidRPr="00637C60">
        <w:rPr>
          <w:highlight w:val="yellow"/>
        </w:rPr>
        <w:t>or a period of 2 months.</w:t>
      </w:r>
    </w:p>
    <w:p w:rsidR="00D61D87" w:rsidRPr="00B15F65" w:rsidRDefault="00D61D87" w:rsidP="00DA06D8">
      <w:pPr>
        <w:pStyle w:val="BodyText"/>
        <w:pBdr>
          <w:top w:val="single" w:sz="4" w:space="1" w:color="auto"/>
          <w:left w:val="single" w:sz="4" w:space="4" w:color="auto"/>
          <w:bottom w:val="single" w:sz="4" w:space="1" w:color="auto"/>
          <w:right w:val="single" w:sz="4" w:space="4" w:color="auto"/>
        </w:pBdr>
        <w:rPr>
          <w:b/>
          <w:highlight w:val="yellow"/>
        </w:rPr>
      </w:pPr>
      <w:r w:rsidRPr="00B15F65">
        <w:rPr>
          <w:b/>
          <w:highlight w:val="yellow"/>
        </w:rPr>
        <w:t>Documents publicly exhibited included</w:t>
      </w:r>
      <w:r w:rsidR="00B15F65" w:rsidRPr="00B15F65">
        <w:rPr>
          <w:b/>
          <w:highlight w:val="yellow"/>
        </w:rPr>
        <w:t>:</w:t>
      </w:r>
      <w:r w:rsidRPr="00B15F65">
        <w:rPr>
          <w:b/>
          <w:highlight w:val="yellow"/>
        </w:rPr>
        <w:t xml:space="preserve"> </w:t>
      </w:r>
    </w:p>
    <w:p w:rsidR="005D0CCD" w:rsidRPr="00637C60" w:rsidRDefault="00D61D87"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t xml:space="preserve">1. </w:t>
      </w:r>
      <w:r w:rsidR="005D0CCD" w:rsidRPr="00637C60">
        <w:rPr>
          <w:highlight w:val="yellow"/>
        </w:rPr>
        <w:t>Resource Strategy (document that underpins council’s CSP)</w:t>
      </w:r>
    </w:p>
    <w:p w:rsidR="00D61D87" w:rsidRPr="00637C60" w:rsidRDefault="005D0CCD"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t>2. Delivery Program</w:t>
      </w:r>
      <w:r w:rsidR="00D61D87" w:rsidRPr="00637C60">
        <w:rPr>
          <w:highlight w:val="yellow"/>
        </w:rPr>
        <w:t xml:space="preserve"> </w:t>
      </w:r>
    </w:p>
    <w:p w:rsidR="005D0CCD" w:rsidRPr="00637C60" w:rsidRDefault="005D0CCD"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t>3. Long Term Financial Plan, and</w:t>
      </w:r>
    </w:p>
    <w:p w:rsidR="005D0CCD" w:rsidRPr="00637C60" w:rsidRDefault="005D0CCD"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t>4. Asset Management Plans</w:t>
      </w:r>
    </w:p>
    <w:p w:rsidR="000A2F8A" w:rsidRPr="00637C60" w:rsidRDefault="000A2F8A" w:rsidP="00DA06D8">
      <w:pPr>
        <w:pStyle w:val="BodyText"/>
        <w:pBdr>
          <w:top w:val="single" w:sz="4" w:space="1" w:color="auto"/>
          <w:left w:val="single" w:sz="4" w:space="4" w:color="auto"/>
          <w:bottom w:val="single" w:sz="4" w:space="1" w:color="auto"/>
          <w:right w:val="single" w:sz="4" w:space="4" w:color="auto"/>
        </w:pBdr>
        <w:rPr>
          <w:highlight w:val="yellow"/>
        </w:rPr>
      </w:pPr>
      <w:r w:rsidRPr="00637C60">
        <w:rPr>
          <w:highlight w:val="yellow"/>
        </w:rPr>
        <w:t>Public exhibition of the documents ceased on Friday, 6 February 2015 and were adopted by Council on Tuesday 17 February 2015.</w:t>
      </w:r>
    </w:p>
    <w:p w:rsidR="008A782D" w:rsidRPr="00800EEE" w:rsidRDefault="000A2F8A" w:rsidP="008A782D">
      <w:pPr>
        <w:pStyle w:val="BodyText"/>
        <w:pBdr>
          <w:top w:val="single" w:sz="4" w:space="1" w:color="auto"/>
          <w:left w:val="single" w:sz="4" w:space="4" w:color="auto"/>
          <w:bottom w:val="single" w:sz="4" w:space="1" w:color="auto"/>
          <w:right w:val="single" w:sz="4" w:space="4" w:color="auto"/>
        </w:pBdr>
        <w:rPr>
          <w:b/>
          <w:highlight w:val="yellow"/>
        </w:rPr>
      </w:pPr>
      <w:r w:rsidRPr="00637C60">
        <w:rPr>
          <w:highlight w:val="yellow"/>
        </w:rPr>
        <w:t xml:space="preserve"> </w:t>
      </w:r>
      <w:r w:rsidR="008A782D" w:rsidRPr="00800EEE">
        <w:rPr>
          <w:b/>
          <w:sz w:val="32"/>
          <w:szCs w:val="32"/>
          <w:highlight w:val="yellow"/>
        </w:rPr>
        <w:t>Reference Information</w:t>
      </w:r>
      <w:r w:rsidR="008A782D" w:rsidRPr="00800EEE">
        <w:rPr>
          <w:b/>
          <w:highlight w:val="yellow"/>
        </w:rPr>
        <w:t>:</w:t>
      </w:r>
    </w:p>
    <w:p w:rsidR="008A782D" w:rsidRDefault="008A782D" w:rsidP="008A782D">
      <w:pPr>
        <w:pStyle w:val="BodyText"/>
        <w:pBdr>
          <w:top w:val="single" w:sz="4" w:space="1" w:color="auto"/>
          <w:left w:val="single" w:sz="4" w:space="4" w:color="auto"/>
          <w:bottom w:val="single" w:sz="4" w:space="1" w:color="auto"/>
          <w:right w:val="single" w:sz="4" w:space="4" w:color="auto"/>
        </w:pBdr>
        <w:rPr>
          <w:b/>
          <w:u w:val="single"/>
        </w:rPr>
      </w:pPr>
      <w:r>
        <w:rPr>
          <w:b/>
          <w:highlight w:val="yellow"/>
          <w:u w:val="single"/>
        </w:rPr>
        <w:t>Resource Strategy – What is our Annual Shortfall?</w:t>
      </w:r>
      <w:r w:rsidRPr="004C1B98">
        <w:rPr>
          <w:b/>
          <w:highlight w:val="yellow"/>
          <w:u w:val="single"/>
        </w:rPr>
        <w:t xml:space="preserve"> (</w:t>
      </w:r>
      <w:r w:rsidR="00404786">
        <w:rPr>
          <w:b/>
          <w:highlight w:val="yellow"/>
          <w:u w:val="single"/>
        </w:rPr>
        <w:t>Appendix</w:t>
      </w:r>
      <w:r w:rsidRPr="004C1B98">
        <w:rPr>
          <w:b/>
          <w:highlight w:val="yellow"/>
          <w:u w:val="single"/>
        </w:rPr>
        <w:t xml:space="preserve"> </w:t>
      </w:r>
      <w:r w:rsidR="009B2445">
        <w:rPr>
          <w:b/>
          <w:highlight w:val="yellow"/>
          <w:u w:val="single"/>
        </w:rPr>
        <w:t>1</w:t>
      </w:r>
      <w:r w:rsidR="00C900DC">
        <w:rPr>
          <w:b/>
          <w:highlight w:val="yellow"/>
          <w:u w:val="single"/>
        </w:rPr>
        <w:t>9</w:t>
      </w:r>
      <w:r w:rsidRPr="00611526">
        <w:rPr>
          <w:b/>
          <w:highlight w:val="yellow"/>
          <w:u w:val="single"/>
        </w:rPr>
        <w:t>)</w:t>
      </w:r>
      <w:r w:rsidR="00611526" w:rsidRPr="00611526">
        <w:rPr>
          <w:b/>
          <w:highlight w:val="yellow"/>
          <w:u w:val="single"/>
        </w:rPr>
        <w:t xml:space="preserve"> – Within Appendix 25</w:t>
      </w:r>
    </w:p>
    <w:p w:rsidR="00E3431D" w:rsidRDefault="00E3431D" w:rsidP="00E3431D">
      <w:pPr>
        <w:pStyle w:val="BodyText"/>
        <w:pBdr>
          <w:top w:val="single" w:sz="4" w:space="1" w:color="auto"/>
          <w:left w:val="single" w:sz="4" w:space="4" w:color="auto"/>
          <w:bottom w:val="single" w:sz="4" w:space="1" w:color="auto"/>
          <w:right w:val="single" w:sz="4" w:space="4" w:color="auto"/>
        </w:pBdr>
        <w:rPr>
          <w:b/>
          <w:highlight w:val="yellow"/>
        </w:rPr>
      </w:pPr>
      <w:r w:rsidRPr="00E3431D">
        <w:rPr>
          <w:b/>
          <w:highlight w:val="yellow"/>
          <w:u w:val="single"/>
        </w:rPr>
        <w:t xml:space="preserve">Report to Council – </w:t>
      </w:r>
      <w:r w:rsidRPr="00E3431D">
        <w:rPr>
          <w:b/>
          <w:highlight w:val="yellow"/>
        </w:rPr>
        <w:t xml:space="preserve">Infrastructure </w:t>
      </w:r>
      <w:r>
        <w:rPr>
          <w:b/>
          <w:highlight w:val="yellow"/>
        </w:rPr>
        <w:t>Asset Renewal – A Ca</w:t>
      </w:r>
      <w:r w:rsidR="00637C60">
        <w:rPr>
          <w:b/>
          <w:highlight w:val="yellow"/>
        </w:rPr>
        <w:t>se for Deliberative Democracy (</w:t>
      </w:r>
      <w:r w:rsidR="00404786">
        <w:rPr>
          <w:b/>
          <w:highlight w:val="yellow"/>
        </w:rPr>
        <w:t>Appendix</w:t>
      </w:r>
      <w:r w:rsidR="00637C60">
        <w:rPr>
          <w:b/>
          <w:highlight w:val="yellow"/>
        </w:rPr>
        <w:t xml:space="preserve"> </w:t>
      </w:r>
      <w:r w:rsidR="00C900DC">
        <w:rPr>
          <w:b/>
          <w:highlight w:val="yellow"/>
        </w:rPr>
        <w:t>20</w:t>
      </w:r>
      <w:r w:rsidR="00637C60">
        <w:rPr>
          <w:b/>
          <w:highlight w:val="yellow"/>
        </w:rPr>
        <w:t>)</w:t>
      </w:r>
      <w:r w:rsidR="00611526">
        <w:rPr>
          <w:b/>
          <w:highlight w:val="yellow"/>
        </w:rPr>
        <w:t xml:space="preserve"> – Within Appendix 25</w:t>
      </w:r>
    </w:p>
    <w:p w:rsidR="008A782D" w:rsidRPr="00637C60" w:rsidRDefault="00637C60" w:rsidP="00DA06D8">
      <w:pPr>
        <w:pStyle w:val="BodyText"/>
        <w:pBdr>
          <w:top w:val="single" w:sz="4" w:space="1" w:color="auto"/>
          <w:left w:val="single" w:sz="4" w:space="4" w:color="auto"/>
          <w:bottom w:val="single" w:sz="4" w:space="1" w:color="auto"/>
          <w:right w:val="single" w:sz="4" w:space="4" w:color="auto"/>
        </w:pBdr>
        <w:rPr>
          <w:b/>
        </w:rPr>
      </w:pPr>
      <w:r w:rsidRPr="00637C60">
        <w:rPr>
          <w:b/>
          <w:highlight w:val="yellow"/>
          <w:u w:val="single"/>
        </w:rPr>
        <w:t xml:space="preserve">Report to Council – Resolution to </w:t>
      </w:r>
      <w:r w:rsidR="00C900DC">
        <w:rPr>
          <w:b/>
          <w:highlight w:val="yellow"/>
          <w:u w:val="single"/>
        </w:rPr>
        <w:t>apply for a SRV &amp; A</w:t>
      </w:r>
      <w:r w:rsidRPr="00637C60">
        <w:rPr>
          <w:b/>
          <w:highlight w:val="yellow"/>
          <w:u w:val="single"/>
        </w:rPr>
        <w:t xml:space="preserve">dopt </w:t>
      </w:r>
      <w:r w:rsidR="00931E4E">
        <w:rPr>
          <w:b/>
          <w:highlight w:val="yellow"/>
          <w:u w:val="single"/>
        </w:rPr>
        <w:t xml:space="preserve">IP&amp;R </w:t>
      </w:r>
      <w:r w:rsidRPr="00637C60">
        <w:rPr>
          <w:b/>
          <w:highlight w:val="yellow"/>
          <w:u w:val="single"/>
        </w:rPr>
        <w:t>documents (</w:t>
      </w:r>
      <w:r w:rsidR="00404786">
        <w:rPr>
          <w:b/>
          <w:highlight w:val="yellow"/>
          <w:u w:val="single"/>
        </w:rPr>
        <w:t>Appendix</w:t>
      </w:r>
      <w:r w:rsidRPr="00637C60">
        <w:rPr>
          <w:b/>
          <w:highlight w:val="yellow"/>
          <w:u w:val="single"/>
        </w:rPr>
        <w:t xml:space="preserve"> </w:t>
      </w:r>
      <w:r w:rsidR="00C900DC">
        <w:rPr>
          <w:b/>
          <w:highlight w:val="yellow"/>
          <w:u w:val="single"/>
        </w:rPr>
        <w:t>21</w:t>
      </w:r>
      <w:r w:rsidRPr="00637C60">
        <w:rPr>
          <w:b/>
          <w:highlight w:val="yellow"/>
          <w:u w:val="single"/>
        </w:rPr>
        <w:t>)</w:t>
      </w:r>
    </w:p>
    <w:p w:rsidR="00303275" w:rsidRDefault="00303275">
      <w:pPr>
        <w:rPr>
          <w:rFonts w:ascii="Arial" w:hAnsi="Arial" w:cs="Arial"/>
          <w:b/>
          <w:bCs/>
          <w:color w:val="00408A"/>
          <w:kern w:val="32"/>
          <w:sz w:val="30"/>
          <w:szCs w:val="30"/>
        </w:rPr>
      </w:pPr>
    </w:p>
    <w:p w:rsidR="00DF19E5" w:rsidRPr="00A35E66" w:rsidRDefault="00DF19E5">
      <w:pPr>
        <w:rPr>
          <w:rFonts w:ascii="Arial" w:hAnsi="Arial" w:cs="Arial"/>
          <w:b/>
          <w:bCs/>
          <w:color w:val="00408A"/>
          <w:kern w:val="32"/>
          <w:sz w:val="30"/>
          <w:szCs w:val="30"/>
        </w:rPr>
      </w:pPr>
    </w:p>
    <w:p w:rsidR="00D60EA5" w:rsidRPr="00A35E66" w:rsidRDefault="00D60EA5" w:rsidP="00D60EA5">
      <w:pPr>
        <w:pStyle w:val="Heading1"/>
      </w:pPr>
      <w:bookmarkStart w:id="35" w:name="_Toc401138379"/>
      <w:r w:rsidRPr="00A35E66">
        <w:lastRenderedPageBreak/>
        <w:t>Assessment criterion 5: Productivity improvements and cost containment strategies</w:t>
      </w:r>
      <w:bookmarkEnd w:id="35"/>
    </w:p>
    <w:p w:rsidR="00D60EA5" w:rsidRPr="00A35E66" w:rsidRDefault="00235528" w:rsidP="00D60EA5">
      <w:pPr>
        <w:pStyle w:val="BodyText"/>
        <w:spacing w:after="240"/>
      </w:pPr>
      <w:r w:rsidRPr="00A35E66">
        <w:t>Criterion 5 within t</w:t>
      </w:r>
      <w:r w:rsidR="00D60EA5" w:rsidRPr="00A35E66">
        <w:t xml:space="preserve">he </w:t>
      </w:r>
      <w:r w:rsidR="00540000" w:rsidRPr="00A35E66">
        <w:t>O</w:t>
      </w:r>
      <w:r w:rsidR="00D60EA5" w:rsidRPr="00A35E66">
        <w:t xml:space="preserve">LG Guidelines </w:t>
      </w:r>
      <w:r w:rsidRPr="00A35E66">
        <w:t>is</w:t>
      </w:r>
      <w:r w:rsidR="00D60EA5" w:rsidRPr="00A35E66">
        <w:t>:</w:t>
      </w:r>
    </w:p>
    <w:p w:rsidR="00D60EA5" w:rsidRPr="00A35E66" w:rsidRDefault="000C61B6" w:rsidP="006D3A62">
      <w:pPr>
        <w:pStyle w:val="Quote"/>
        <w:rPr>
          <w:rFonts w:ascii="Arial" w:hAnsi="Arial"/>
          <w:i/>
        </w:rPr>
      </w:pPr>
      <w:r w:rsidRPr="00A35E66">
        <w:rPr>
          <w:rFonts w:ascii="Arial" w:hAnsi="Arial"/>
          <w:i/>
        </w:rPr>
        <w:t xml:space="preserve">The IP&amp;R document or the council’s application must explain the productivity improvements </w:t>
      </w:r>
      <w:r w:rsidR="00E85A60" w:rsidRPr="00A35E66">
        <w:rPr>
          <w:rFonts w:ascii="Arial" w:hAnsi="Arial"/>
          <w:i/>
        </w:rPr>
        <w:t xml:space="preserve">and cost containment strategies </w:t>
      </w:r>
      <w:r w:rsidRPr="00A35E66">
        <w:rPr>
          <w:rFonts w:ascii="Arial" w:hAnsi="Arial"/>
          <w:i/>
        </w:rPr>
        <w:t>the council has realised in past years, and plans to realise over the proposed special variation period</w:t>
      </w:r>
      <w:r w:rsidR="00D60EA5" w:rsidRPr="00A35E66">
        <w:rPr>
          <w:rFonts w:ascii="Arial" w:hAnsi="Arial"/>
          <w:i/>
        </w:rPr>
        <w:t>.</w:t>
      </w:r>
    </w:p>
    <w:p w:rsidR="003035AF" w:rsidRPr="00A35E66" w:rsidRDefault="00D60EA5" w:rsidP="00D60EA5">
      <w:pPr>
        <w:pStyle w:val="BodyText"/>
      </w:pPr>
      <w:r w:rsidRPr="00A35E66">
        <w:t xml:space="preserve">In this section, </w:t>
      </w:r>
      <w:r w:rsidR="00303275" w:rsidRPr="00A35E66">
        <w:t xml:space="preserve">you must </w:t>
      </w:r>
      <w:r w:rsidRPr="00A35E66">
        <w:t xml:space="preserve">provide details of any productivity improvements and cost containment strategies that you have implemented in the last </w:t>
      </w:r>
      <w:r w:rsidR="006D3A62" w:rsidRPr="00A35E66">
        <w:t>two</w:t>
      </w:r>
      <w:r w:rsidRPr="00A35E66">
        <w:t xml:space="preserve"> years (or longer) and any plans for productivity improvements and cost containment during the period of the special variation.  </w:t>
      </w:r>
    </w:p>
    <w:p w:rsidR="00D60EA5" w:rsidRPr="00A35E66" w:rsidRDefault="00D60EA5" w:rsidP="00D60EA5">
      <w:pPr>
        <w:pStyle w:val="BodyText"/>
        <w:rPr>
          <w:bCs/>
        </w:rPr>
      </w:pPr>
      <w:r w:rsidRPr="00A35E66">
        <w:t xml:space="preserve">These </w:t>
      </w:r>
      <w:r w:rsidR="00235528" w:rsidRPr="00A35E66">
        <w:t>strategies</w:t>
      </w:r>
      <w:r w:rsidRPr="00A35E66">
        <w:t xml:space="preserve">, </w:t>
      </w:r>
      <w:r w:rsidR="00235528" w:rsidRPr="00A35E66">
        <w:t xml:space="preserve">which may be </w:t>
      </w:r>
      <w:r w:rsidRPr="00A35E66">
        <w:t>capital or recurrent in nature, must be aimed at reducing costs</w:t>
      </w:r>
      <w:r w:rsidR="00235528" w:rsidRPr="00A35E66">
        <w:t xml:space="preserve"> and/or improving efficiency</w:t>
      </w:r>
      <w:r w:rsidRPr="00A35E66">
        <w:t>.</w:t>
      </w:r>
      <w:r w:rsidR="00F413CE" w:rsidRPr="00A35E66">
        <w:t xml:space="preserve">  I</w:t>
      </w:r>
      <w:r w:rsidRPr="00A35E66">
        <w:t xml:space="preserve">ndicate </w:t>
      </w:r>
      <w:r w:rsidR="00F413CE" w:rsidRPr="00A35E66">
        <w:t xml:space="preserve">if </w:t>
      </w:r>
      <w:r w:rsidRPr="00A35E66">
        <w:t xml:space="preserve">any initiatives </w:t>
      </w:r>
      <w:r w:rsidR="00F413CE" w:rsidRPr="00A35E66">
        <w:t xml:space="preserve">are </w:t>
      </w:r>
      <w:r w:rsidRPr="00A35E66">
        <w:t xml:space="preserve">to increase revenue </w:t>
      </w:r>
      <w:proofErr w:type="spellStart"/>
      <w:r w:rsidRPr="00A35E66">
        <w:t>eg</w:t>
      </w:r>
      <w:proofErr w:type="spellEnd"/>
      <w:r w:rsidRPr="00A35E66">
        <w:t xml:space="preserve">, user charges.  Identify </w:t>
      </w:r>
      <w:r w:rsidR="00A52804" w:rsidRPr="00A35E66">
        <w:t xml:space="preserve">if the </w:t>
      </w:r>
      <w:r w:rsidRPr="00A35E66">
        <w:t>proposed initiatives</w:t>
      </w:r>
      <w:r w:rsidR="003035AF" w:rsidRPr="00A35E66">
        <w:t xml:space="preserve"> (</w:t>
      </w:r>
      <w:proofErr w:type="spellStart"/>
      <w:r w:rsidR="003035AF" w:rsidRPr="00A35E66">
        <w:t>ie</w:t>
      </w:r>
      <w:proofErr w:type="spellEnd"/>
      <w:r w:rsidR="003035AF" w:rsidRPr="00A35E66">
        <w:t>, cost savings),</w:t>
      </w:r>
      <w:r w:rsidRPr="00A35E66">
        <w:t xml:space="preserve"> have been factored into the council’s resourcing strategy (</w:t>
      </w:r>
      <w:proofErr w:type="spellStart"/>
      <w:r w:rsidRPr="00A35E66">
        <w:t>eg</w:t>
      </w:r>
      <w:proofErr w:type="spellEnd"/>
      <w:r w:rsidRPr="00A35E66">
        <w:t>, LTFP and AMP).</w:t>
      </w:r>
    </w:p>
    <w:p w:rsidR="00D60EA5" w:rsidRPr="00A35E66" w:rsidRDefault="00D60EA5" w:rsidP="00D60EA5">
      <w:pPr>
        <w:pStyle w:val="BodyText"/>
      </w:pPr>
      <w:r w:rsidRPr="00A35E66">
        <w:t xml:space="preserve">Where possible, </w:t>
      </w:r>
      <w:r w:rsidR="00D83471" w:rsidRPr="00A35E66">
        <w:t xml:space="preserve">the council is to </w:t>
      </w:r>
      <w:r w:rsidRPr="00A35E66">
        <w:t xml:space="preserve">quantify in dollar terms the past and future productivity improvements and </w:t>
      </w:r>
      <w:r w:rsidR="001F1E22" w:rsidRPr="00A35E66">
        <w:t xml:space="preserve">cost </w:t>
      </w:r>
      <w:r w:rsidRPr="00A35E66">
        <w:t>savings</w:t>
      </w:r>
      <w:r w:rsidR="006D3A62" w:rsidRPr="00A35E66">
        <w:t>.</w:t>
      </w:r>
    </w:p>
    <w:p w:rsidR="00D60EA5" w:rsidRPr="00A35E66" w:rsidRDefault="00D83471" w:rsidP="00D60EA5">
      <w:pPr>
        <w:pStyle w:val="BodyText"/>
        <w:rPr>
          <w:bCs/>
        </w:rPr>
      </w:pPr>
      <w:r w:rsidRPr="00A35E66">
        <w:t xml:space="preserve">The council </w:t>
      </w:r>
      <w:r w:rsidR="00D60EA5" w:rsidRPr="00A35E66">
        <w:t xml:space="preserve">may also </w:t>
      </w:r>
      <w:r w:rsidRPr="00A35E66">
        <w:t xml:space="preserve">provide </w:t>
      </w:r>
      <w:r w:rsidR="00D60EA5" w:rsidRPr="00A35E66">
        <w:t xml:space="preserve">indicators of efficiency, either over time or in comparison to other relevant councils.  We will make similar comparisons using various indicators and </w:t>
      </w:r>
      <w:r w:rsidR="00040713" w:rsidRPr="00A35E66">
        <w:t>O</w:t>
      </w:r>
      <w:r w:rsidR="007D6548" w:rsidRPr="00A35E66">
        <w:t xml:space="preserve">LG </w:t>
      </w:r>
      <w:r w:rsidR="006D3A62" w:rsidRPr="00A35E66">
        <w:t>data provided to us.</w:t>
      </w:r>
    </w:p>
    <w:p w:rsidR="00763A7F" w:rsidRDefault="00763A7F" w:rsidP="00763A7F"/>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r w:rsidRPr="00451BFC">
        <w:rPr>
          <w:highlight w:val="yellow"/>
        </w:rPr>
        <w:t>Marrickville Council has a proven track record of identifying productivity improvements and bringing to account expenditure savings and/or additional revenue raising opportunities.</w:t>
      </w:r>
    </w:p>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p>
    <w:p w:rsidR="00E50B90" w:rsidRPr="00451BFC" w:rsidRDefault="00E50B90" w:rsidP="00E50B90">
      <w:pPr>
        <w:pBdr>
          <w:top w:val="single" w:sz="4" w:space="1" w:color="auto"/>
          <w:left w:val="single" w:sz="4" w:space="4" w:color="auto"/>
          <w:bottom w:val="single" w:sz="4" w:space="1" w:color="auto"/>
          <w:right w:val="single" w:sz="4" w:space="4" w:color="auto"/>
        </w:pBdr>
        <w:rPr>
          <w:highlight w:val="yellow"/>
        </w:rPr>
      </w:pPr>
      <w:r w:rsidRPr="00451BFC">
        <w:rPr>
          <w:highlight w:val="yellow"/>
        </w:rPr>
        <w:t xml:space="preserve">Initiated in 2009, </w:t>
      </w:r>
      <w:r w:rsidR="004D7A5F" w:rsidRPr="00451BFC">
        <w:rPr>
          <w:highlight w:val="yellow"/>
        </w:rPr>
        <w:t>an efficiency/productivity plan saw major improvements in Council’s financial position with</w:t>
      </w:r>
      <w:r w:rsidR="0088128C" w:rsidRPr="00451BFC">
        <w:rPr>
          <w:highlight w:val="yellow"/>
        </w:rPr>
        <w:t xml:space="preserve"> little or no impact on </w:t>
      </w:r>
      <w:r w:rsidR="004D7A5F" w:rsidRPr="00451BFC">
        <w:rPr>
          <w:highlight w:val="yellow"/>
        </w:rPr>
        <w:t>services. These included new park management practices, improved operational efficiency, and better workplace safety and injury management. Cou</w:t>
      </w:r>
      <w:r w:rsidR="0088128C" w:rsidRPr="00451BFC">
        <w:rPr>
          <w:highlight w:val="yellow"/>
        </w:rPr>
        <w:t>n</w:t>
      </w:r>
      <w:r w:rsidR="004D7A5F" w:rsidRPr="00451BFC">
        <w:rPr>
          <w:highlight w:val="yellow"/>
        </w:rPr>
        <w:t xml:space="preserve">cil also generated significant savings in its </w:t>
      </w:r>
      <w:r w:rsidR="0088128C" w:rsidRPr="00451BFC">
        <w:rPr>
          <w:highlight w:val="yellow"/>
        </w:rPr>
        <w:t xml:space="preserve">delivery of </w:t>
      </w:r>
      <w:r w:rsidR="004D7A5F" w:rsidRPr="00451BFC">
        <w:rPr>
          <w:highlight w:val="yellow"/>
        </w:rPr>
        <w:t>Waste Services. Combined, these initiatives have released more than $3m in funds since they were introduced.</w:t>
      </w:r>
    </w:p>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p>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r w:rsidRPr="00451BFC">
        <w:rPr>
          <w:highlight w:val="yellow"/>
        </w:rPr>
        <w:t xml:space="preserve">In more recent years, Council has introduced a productivity/efficiency dividend into its annual budget. The dividend has grown from $350,000 pa to $600,000 pa over the past 3 years. The inclusion of this dividend into the annual budget is supported by Council’s Continuous Improvement Program, ‘Marrickville 360’. </w:t>
      </w:r>
    </w:p>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p>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r w:rsidRPr="00451BFC">
        <w:rPr>
          <w:highlight w:val="yellow"/>
        </w:rPr>
        <w:t>Council has made considerable progress in reducing its annual workers compensation and insurance premiums. A combination of preventative measures and an improved claims experience record has enabled Council to estimate an annual saving of $200,000 in recent times.</w:t>
      </w:r>
      <w:r w:rsidR="0088128C" w:rsidRPr="00451BFC">
        <w:rPr>
          <w:highlight w:val="yellow"/>
        </w:rPr>
        <w:t xml:space="preserve"> </w:t>
      </w:r>
    </w:p>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r w:rsidRPr="00451BFC">
        <w:rPr>
          <w:highlight w:val="yellow"/>
        </w:rPr>
        <w:lastRenderedPageBreak/>
        <w:t xml:space="preserve">Council is also making significant savings through its new centre-led approach to the procurement of goods and services (particularly those procurements valued in excess of $150,000). Recent tenders indicate that Council can continue to benefit from high value material and contract tenders. </w:t>
      </w:r>
    </w:p>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p>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r w:rsidRPr="00451BFC">
        <w:rPr>
          <w:highlight w:val="yellow"/>
        </w:rPr>
        <w:t>Recent investments in energy efficient systems and devices are beginning to provide returns on investments which should assist Council’s budget position long into the future. Examples include solar lighting and led lighting systems in some of Council’s major facilities.</w:t>
      </w:r>
    </w:p>
    <w:p w:rsidR="00763A7F" w:rsidRPr="00451BFC" w:rsidRDefault="00763A7F" w:rsidP="00763A7F">
      <w:pPr>
        <w:pBdr>
          <w:top w:val="single" w:sz="4" w:space="1" w:color="auto"/>
          <w:left w:val="single" w:sz="4" w:space="4" w:color="auto"/>
          <w:bottom w:val="single" w:sz="4" w:space="1" w:color="auto"/>
          <w:right w:val="single" w:sz="4" w:space="4" w:color="auto"/>
        </w:pBdr>
        <w:rPr>
          <w:highlight w:val="yellow"/>
        </w:rPr>
      </w:pPr>
    </w:p>
    <w:p w:rsidR="00346F69" w:rsidRDefault="00763A7F" w:rsidP="00763A7F">
      <w:pPr>
        <w:pBdr>
          <w:top w:val="single" w:sz="4" w:space="1" w:color="auto"/>
          <w:left w:val="single" w:sz="4" w:space="4" w:color="auto"/>
          <w:bottom w:val="single" w:sz="4" w:space="1" w:color="auto"/>
          <w:right w:val="single" w:sz="4" w:space="4" w:color="auto"/>
        </w:pBdr>
        <w:jc w:val="both"/>
        <w:rPr>
          <w:rFonts w:cs="Arial"/>
          <w:szCs w:val="22"/>
          <w:highlight w:val="yellow"/>
        </w:rPr>
      </w:pPr>
      <w:r w:rsidRPr="00451BFC">
        <w:rPr>
          <w:rFonts w:cs="Arial"/>
          <w:szCs w:val="22"/>
          <w:highlight w:val="yellow"/>
        </w:rPr>
        <w:t xml:space="preserve">Today, in addition to the $600,000 already factored in the 2015/16 Budget for productivity/efficiency gains and approximately $1,000,000 in efficiencies in the Resource Recovery area which have already been factored into the Domestic Waste Management Charge, Council is proposing to implement a targeted annual </w:t>
      </w:r>
      <w:r w:rsidR="001265D6">
        <w:rPr>
          <w:rFonts w:cs="Arial"/>
          <w:szCs w:val="22"/>
          <w:highlight w:val="yellow"/>
        </w:rPr>
        <w:t>Pr</w:t>
      </w:r>
      <w:r w:rsidRPr="00451BFC">
        <w:rPr>
          <w:rFonts w:cs="Arial"/>
          <w:szCs w:val="22"/>
          <w:highlight w:val="yellow"/>
        </w:rPr>
        <w:t xml:space="preserve">oductivity </w:t>
      </w:r>
      <w:r w:rsidR="001265D6">
        <w:rPr>
          <w:rFonts w:cs="Arial"/>
          <w:szCs w:val="22"/>
          <w:highlight w:val="yellow"/>
        </w:rPr>
        <w:t>Improvement P</w:t>
      </w:r>
      <w:r w:rsidRPr="00451BFC">
        <w:rPr>
          <w:rFonts w:cs="Arial"/>
          <w:szCs w:val="22"/>
          <w:highlight w:val="yellow"/>
        </w:rPr>
        <w:t xml:space="preserve">lan aimed at generating an additional $1,000,000 per annum </w:t>
      </w:r>
      <w:r w:rsidRPr="00B459C9">
        <w:rPr>
          <w:rFonts w:cs="Arial"/>
          <w:b/>
          <w:szCs w:val="22"/>
          <w:highlight w:val="yellow"/>
        </w:rPr>
        <w:t>(total recurrent target is therefore $1,600</w:t>
      </w:r>
      <w:r w:rsidRPr="00451BFC">
        <w:rPr>
          <w:rFonts w:cs="Arial"/>
          <w:b/>
          <w:szCs w:val="22"/>
          <w:highlight w:val="yellow"/>
        </w:rPr>
        <w:t>,000 per annum</w:t>
      </w:r>
      <w:r w:rsidRPr="00451BFC">
        <w:rPr>
          <w:rFonts w:cs="Arial"/>
          <w:szCs w:val="22"/>
          <w:highlight w:val="yellow"/>
        </w:rPr>
        <w:t xml:space="preserve">). </w:t>
      </w:r>
    </w:p>
    <w:p w:rsidR="00346F69" w:rsidRDefault="00346F69" w:rsidP="00763A7F">
      <w:pPr>
        <w:pBdr>
          <w:top w:val="single" w:sz="4" w:space="1" w:color="auto"/>
          <w:left w:val="single" w:sz="4" w:space="4" w:color="auto"/>
          <w:bottom w:val="single" w:sz="4" w:space="1" w:color="auto"/>
          <w:right w:val="single" w:sz="4" w:space="4" w:color="auto"/>
        </w:pBdr>
        <w:jc w:val="both"/>
        <w:rPr>
          <w:rFonts w:cs="Arial"/>
          <w:szCs w:val="22"/>
          <w:highlight w:val="yellow"/>
        </w:rPr>
      </w:pPr>
    </w:p>
    <w:p w:rsidR="00763A7F" w:rsidRPr="00451BFC" w:rsidRDefault="00763A7F" w:rsidP="00763A7F">
      <w:pPr>
        <w:pBdr>
          <w:top w:val="single" w:sz="4" w:space="1" w:color="auto"/>
          <w:left w:val="single" w:sz="4" w:space="4" w:color="auto"/>
          <w:bottom w:val="single" w:sz="4" w:space="1" w:color="auto"/>
          <w:right w:val="single" w:sz="4" w:space="4" w:color="auto"/>
        </w:pBdr>
        <w:jc w:val="both"/>
        <w:rPr>
          <w:rFonts w:cs="Arial"/>
          <w:szCs w:val="22"/>
          <w:highlight w:val="yellow"/>
        </w:rPr>
      </w:pPr>
      <w:r w:rsidRPr="00451BFC">
        <w:rPr>
          <w:rFonts w:cs="Arial"/>
          <w:szCs w:val="22"/>
          <w:highlight w:val="yellow"/>
        </w:rPr>
        <w:t>This plan will be designed in such a way that it does not adversely impact on the range of services Council currently provides to the community or on the level of service offered to the community.</w:t>
      </w:r>
    </w:p>
    <w:p w:rsidR="00763A7F" w:rsidRPr="00451BFC" w:rsidRDefault="00763A7F" w:rsidP="00763A7F">
      <w:pPr>
        <w:pBdr>
          <w:top w:val="single" w:sz="4" w:space="1" w:color="auto"/>
          <w:left w:val="single" w:sz="4" w:space="4" w:color="auto"/>
          <w:bottom w:val="single" w:sz="4" w:space="1" w:color="auto"/>
          <w:right w:val="single" w:sz="4" w:space="4" w:color="auto"/>
        </w:pBdr>
        <w:jc w:val="both"/>
        <w:rPr>
          <w:rFonts w:cs="Arial"/>
          <w:szCs w:val="22"/>
          <w:highlight w:val="yellow"/>
        </w:rPr>
      </w:pPr>
    </w:p>
    <w:p w:rsidR="00346F69" w:rsidRDefault="00763A7F" w:rsidP="00763A7F">
      <w:pPr>
        <w:pBdr>
          <w:top w:val="single" w:sz="4" w:space="1" w:color="auto"/>
          <w:left w:val="single" w:sz="4" w:space="4" w:color="auto"/>
          <w:bottom w:val="single" w:sz="4" w:space="1" w:color="auto"/>
          <w:right w:val="single" w:sz="4" w:space="4" w:color="auto"/>
        </w:pBdr>
        <w:jc w:val="both"/>
        <w:rPr>
          <w:rFonts w:cs="Arial"/>
          <w:szCs w:val="22"/>
          <w:highlight w:val="yellow"/>
        </w:rPr>
      </w:pPr>
      <w:r w:rsidRPr="00451BFC">
        <w:rPr>
          <w:rFonts w:cs="Arial"/>
          <w:szCs w:val="22"/>
          <w:highlight w:val="yellow"/>
        </w:rPr>
        <w:t xml:space="preserve">In addition to reviewing all income and expenditure allocations for 2015/16 and beyond with a view to eliminating any non-essential items and scrutinising discretionary expenditure, Council will be targeting ongoing expenditure savings to ensure the additional $1,000,000 is realised. </w:t>
      </w:r>
    </w:p>
    <w:p w:rsidR="00346F69" w:rsidRDefault="00346F69" w:rsidP="00763A7F">
      <w:pPr>
        <w:pBdr>
          <w:top w:val="single" w:sz="4" w:space="1" w:color="auto"/>
          <w:left w:val="single" w:sz="4" w:space="4" w:color="auto"/>
          <w:bottom w:val="single" w:sz="4" w:space="1" w:color="auto"/>
          <w:right w:val="single" w:sz="4" w:space="4" w:color="auto"/>
        </w:pBdr>
        <w:jc w:val="both"/>
        <w:rPr>
          <w:rFonts w:cs="Arial"/>
          <w:szCs w:val="22"/>
          <w:highlight w:val="yellow"/>
        </w:rPr>
      </w:pPr>
    </w:p>
    <w:p w:rsidR="00763A7F" w:rsidRDefault="00763A7F" w:rsidP="00763A7F">
      <w:pPr>
        <w:pBdr>
          <w:top w:val="single" w:sz="4" w:space="1" w:color="auto"/>
          <w:left w:val="single" w:sz="4" w:space="4" w:color="auto"/>
          <w:bottom w:val="single" w:sz="4" w:space="1" w:color="auto"/>
          <w:right w:val="single" w:sz="4" w:space="4" w:color="auto"/>
        </w:pBdr>
        <w:jc w:val="both"/>
        <w:rPr>
          <w:rFonts w:cs="Arial"/>
          <w:szCs w:val="22"/>
        </w:rPr>
      </w:pPr>
      <w:r w:rsidRPr="00451BFC">
        <w:rPr>
          <w:rFonts w:cs="Arial"/>
          <w:szCs w:val="22"/>
          <w:highlight w:val="yellow"/>
        </w:rPr>
        <w:t xml:space="preserve">Council sees the vast majority of its productivity improvements and cost saving measures coming </w:t>
      </w:r>
      <w:r w:rsidR="001265D6">
        <w:rPr>
          <w:rFonts w:cs="Arial"/>
          <w:szCs w:val="22"/>
          <w:highlight w:val="yellow"/>
        </w:rPr>
        <w:t xml:space="preserve">from </w:t>
      </w:r>
      <w:r w:rsidRPr="00451BFC">
        <w:rPr>
          <w:rFonts w:cs="Arial"/>
          <w:szCs w:val="22"/>
          <w:highlight w:val="yellow"/>
        </w:rPr>
        <w:t>the following</w:t>
      </w:r>
      <w:r w:rsidR="00D81888" w:rsidRPr="00451BFC">
        <w:rPr>
          <w:rFonts w:cs="Arial"/>
          <w:szCs w:val="22"/>
          <w:highlight w:val="yellow"/>
        </w:rPr>
        <w:t xml:space="preserve"> 7 point plan</w:t>
      </w:r>
      <w:r w:rsidRPr="00451BFC">
        <w:rPr>
          <w:rFonts w:cs="Arial"/>
          <w:szCs w:val="22"/>
          <w:highlight w:val="yellow"/>
        </w:rPr>
        <w:t>:</w:t>
      </w:r>
    </w:p>
    <w:p w:rsidR="00821482" w:rsidRDefault="00821482" w:rsidP="00763A7F">
      <w:pPr>
        <w:pBdr>
          <w:top w:val="single" w:sz="4" w:space="1" w:color="auto"/>
          <w:left w:val="single" w:sz="4" w:space="4" w:color="auto"/>
          <w:bottom w:val="single" w:sz="4" w:space="1" w:color="auto"/>
          <w:right w:val="single" w:sz="4" w:space="4" w:color="auto"/>
        </w:pBdr>
        <w:jc w:val="both"/>
        <w:rPr>
          <w:rFonts w:cs="Arial"/>
          <w:szCs w:val="22"/>
        </w:rPr>
      </w:pPr>
    </w:p>
    <w:p w:rsidR="00821482" w:rsidRDefault="00821482" w:rsidP="00763A7F">
      <w:pPr>
        <w:pBdr>
          <w:top w:val="single" w:sz="4" w:space="1" w:color="auto"/>
          <w:left w:val="single" w:sz="4" w:space="4" w:color="auto"/>
          <w:bottom w:val="single" w:sz="4" w:space="1" w:color="auto"/>
          <w:right w:val="single" w:sz="4" w:space="4" w:color="auto"/>
        </w:pBdr>
        <w:jc w:val="both"/>
        <w:rPr>
          <w:rFonts w:cs="Arial"/>
          <w:szCs w:val="22"/>
        </w:rPr>
      </w:pPr>
      <w:r>
        <w:rPr>
          <w:rFonts w:cs="Arial"/>
          <w:szCs w:val="22"/>
          <w:highlight w:val="yellow"/>
        </w:rPr>
        <w:t xml:space="preserve">1. </w:t>
      </w:r>
      <w:r w:rsidR="00346F69">
        <w:rPr>
          <w:rFonts w:cs="Arial"/>
          <w:szCs w:val="22"/>
          <w:highlight w:val="yellow"/>
        </w:rPr>
        <w:t>A</w:t>
      </w:r>
      <w:r w:rsidRPr="00451BFC">
        <w:rPr>
          <w:rFonts w:cs="Arial"/>
          <w:szCs w:val="22"/>
          <w:highlight w:val="yellow"/>
        </w:rPr>
        <w:t>ccelerated efforts in digitisation and on-line transactional business to not only expedite business</w:t>
      </w:r>
      <w:r>
        <w:rPr>
          <w:rFonts w:cs="Arial"/>
          <w:szCs w:val="22"/>
          <w:highlight w:val="yellow"/>
        </w:rPr>
        <w:t xml:space="preserve"> dealings</w:t>
      </w:r>
      <w:r w:rsidRPr="00451BFC">
        <w:rPr>
          <w:rFonts w:cs="Arial"/>
          <w:szCs w:val="22"/>
          <w:highlight w:val="yellow"/>
        </w:rPr>
        <w:t xml:space="preserve"> with customers but also reduce the need for additional resources to service customer enquiries</w:t>
      </w:r>
    </w:p>
    <w:p w:rsidR="00821482" w:rsidRDefault="00821482" w:rsidP="00763A7F">
      <w:pPr>
        <w:pBdr>
          <w:top w:val="single" w:sz="4" w:space="1" w:color="auto"/>
          <w:left w:val="single" w:sz="4" w:space="4" w:color="auto"/>
          <w:bottom w:val="single" w:sz="4" w:space="1" w:color="auto"/>
          <w:right w:val="single" w:sz="4" w:space="4" w:color="auto"/>
        </w:pBdr>
        <w:jc w:val="both"/>
        <w:rPr>
          <w:rFonts w:cs="Arial"/>
          <w:szCs w:val="22"/>
        </w:rPr>
      </w:pPr>
      <w:r w:rsidRPr="00346F69">
        <w:rPr>
          <w:rFonts w:cs="Arial"/>
          <w:szCs w:val="22"/>
          <w:highlight w:val="yellow"/>
        </w:rPr>
        <w:t xml:space="preserve">2. </w:t>
      </w:r>
      <w:r w:rsidR="00346F69">
        <w:rPr>
          <w:rFonts w:cs="Arial"/>
          <w:szCs w:val="22"/>
          <w:highlight w:val="yellow"/>
        </w:rPr>
        <w:t>B</w:t>
      </w:r>
      <w:r w:rsidR="00346F69" w:rsidRPr="00346F69">
        <w:rPr>
          <w:rFonts w:cs="Arial"/>
          <w:szCs w:val="22"/>
          <w:highlight w:val="yellow"/>
        </w:rPr>
        <w:t xml:space="preserve">ulk </w:t>
      </w:r>
      <w:r w:rsidR="00346F69" w:rsidRPr="00451BFC">
        <w:rPr>
          <w:rFonts w:cs="Arial"/>
          <w:szCs w:val="22"/>
          <w:highlight w:val="yellow"/>
        </w:rPr>
        <w:t>procurement - large value materials and contract tenders have the potential to offer significant savings to Council. We will invest the time to analyse supply spend with a view to consolidating suppliers and going to tender</w:t>
      </w:r>
      <w:r w:rsidR="00346F69">
        <w:rPr>
          <w:rFonts w:cs="Arial"/>
          <w:szCs w:val="22"/>
          <w:highlight w:val="yellow"/>
        </w:rPr>
        <w:t xml:space="preserve"> more often</w:t>
      </w:r>
    </w:p>
    <w:p w:rsidR="00346F69" w:rsidRDefault="00346F69" w:rsidP="00763A7F">
      <w:pPr>
        <w:pBdr>
          <w:top w:val="single" w:sz="4" w:space="1" w:color="auto"/>
          <w:left w:val="single" w:sz="4" w:space="4" w:color="auto"/>
          <w:bottom w:val="single" w:sz="4" w:space="1" w:color="auto"/>
          <w:right w:val="single" w:sz="4" w:space="4" w:color="auto"/>
        </w:pBdr>
        <w:jc w:val="both"/>
        <w:rPr>
          <w:rFonts w:cs="Arial"/>
          <w:szCs w:val="22"/>
        </w:rPr>
      </w:pPr>
      <w:r w:rsidRPr="00346F69">
        <w:rPr>
          <w:rFonts w:cs="Arial"/>
          <w:szCs w:val="22"/>
          <w:highlight w:val="yellow"/>
        </w:rPr>
        <w:t xml:space="preserve">3. Ongoing </w:t>
      </w:r>
      <w:r w:rsidRPr="00451BFC">
        <w:rPr>
          <w:rFonts w:cs="Arial"/>
          <w:szCs w:val="22"/>
          <w:highlight w:val="yellow"/>
        </w:rPr>
        <w:t xml:space="preserve">analysis of all staff related costs – </w:t>
      </w:r>
      <w:r>
        <w:rPr>
          <w:rFonts w:cs="Arial"/>
          <w:szCs w:val="22"/>
          <w:highlight w:val="yellow"/>
        </w:rPr>
        <w:t xml:space="preserve">involves an exhaustive examination of </w:t>
      </w:r>
      <w:r w:rsidRPr="00451BFC">
        <w:rPr>
          <w:rFonts w:cs="Arial"/>
          <w:szCs w:val="22"/>
          <w:highlight w:val="yellow"/>
        </w:rPr>
        <w:t xml:space="preserve">everything from vacant positions to rostered work, and </w:t>
      </w:r>
      <w:r>
        <w:rPr>
          <w:rFonts w:cs="Arial"/>
          <w:szCs w:val="22"/>
          <w:highlight w:val="yellow"/>
        </w:rPr>
        <w:t xml:space="preserve">from </w:t>
      </w:r>
      <w:r w:rsidRPr="00451BFC">
        <w:rPr>
          <w:rFonts w:cs="Arial"/>
          <w:szCs w:val="22"/>
          <w:highlight w:val="yellow"/>
        </w:rPr>
        <w:t>penalties and overtime to the cost of our light vehicle fleet (leaseback vehicles</w:t>
      </w:r>
      <w:r>
        <w:rPr>
          <w:rFonts w:cs="Arial"/>
          <w:szCs w:val="22"/>
          <w:highlight w:val="yellow"/>
        </w:rPr>
        <w:t xml:space="preserve"> offered to </w:t>
      </w:r>
      <w:r w:rsidRPr="00346F69">
        <w:rPr>
          <w:rFonts w:cs="Arial"/>
          <w:szCs w:val="22"/>
          <w:highlight w:val="yellow"/>
        </w:rPr>
        <w:t>officers)</w:t>
      </w:r>
    </w:p>
    <w:p w:rsidR="00346F69" w:rsidRDefault="00346F69" w:rsidP="00763A7F">
      <w:pPr>
        <w:pBdr>
          <w:top w:val="single" w:sz="4" w:space="1" w:color="auto"/>
          <w:left w:val="single" w:sz="4" w:space="4" w:color="auto"/>
          <w:bottom w:val="single" w:sz="4" w:space="1" w:color="auto"/>
          <w:right w:val="single" w:sz="4" w:space="4" w:color="auto"/>
        </w:pBdr>
        <w:jc w:val="both"/>
        <w:rPr>
          <w:rFonts w:cs="Arial"/>
          <w:szCs w:val="22"/>
        </w:rPr>
      </w:pPr>
      <w:r w:rsidRPr="00346F69">
        <w:rPr>
          <w:rFonts w:cs="Arial"/>
          <w:szCs w:val="22"/>
          <w:highlight w:val="yellow"/>
        </w:rPr>
        <w:t xml:space="preserve">4. Ongoing </w:t>
      </w:r>
      <w:r w:rsidRPr="00451BFC">
        <w:rPr>
          <w:rFonts w:cs="Arial"/>
          <w:szCs w:val="22"/>
          <w:highlight w:val="yellow"/>
        </w:rPr>
        <w:t>reassessment of debt (internal loan borrowings) – continuing the trend of borrowing from internal reserves rather than externally through the banks</w:t>
      </w:r>
    </w:p>
    <w:p w:rsidR="00346F69" w:rsidRDefault="00346F69" w:rsidP="00763A7F">
      <w:pPr>
        <w:pBdr>
          <w:top w:val="single" w:sz="4" w:space="1" w:color="auto"/>
          <w:left w:val="single" w:sz="4" w:space="4" w:color="auto"/>
          <w:bottom w:val="single" w:sz="4" w:space="1" w:color="auto"/>
          <w:right w:val="single" w:sz="4" w:space="4" w:color="auto"/>
        </w:pBdr>
        <w:jc w:val="both"/>
        <w:rPr>
          <w:rFonts w:cs="Arial"/>
          <w:szCs w:val="22"/>
        </w:rPr>
      </w:pPr>
      <w:r w:rsidRPr="00346F69">
        <w:rPr>
          <w:rFonts w:cs="Arial"/>
          <w:szCs w:val="22"/>
          <w:highlight w:val="yellow"/>
        </w:rPr>
        <w:t xml:space="preserve">5. </w:t>
      </w:r>
      <w:r w:rsidR="00C900DC">
        <w:rPr>
          <w:rFonts w:cs="Arial"/>
          <w:szCs w:val="22"/>
          <w:highlight w:val="yellow"/>
        </w:rPr>
        <w:t>O</w:t>
      </w:r>
      <w:r w:rsidRPr="00346F69">
        <w:rPr>
          <w:rFonts w:cs="Arial"/>
          <w:szCs w:val="22"/>
          <w:highlight w:val="yellow"/>
        </w:rPr>
        <w:t xml:space="preserve">ngoing </w:t>
      </w:r>
      <w:r w:rsidRPr="00451BFC">
        <w:rPr>
          <w:rFonts w:cs="Arial"/>
          <w:szCs w:val="22"/>
          <w:highlight w:val="yellow"/>
        </w:rPr>
        <w:t xml:space="preserve">installation of energy efficiency systems with attractive pay-back periods – Council’s environmentally sustainable focus will always ensure viable </w:t>
      </w:r>
      <w:r>
        <w:rPr>
          <w:rFonts w:cs="Arial"/>
          <w:szCs w:val="22"/>
          <w:highlight w:val="yellow"/>
        </w:rPr>
        <w:t xml:space="preserve">projects </w:t>
      </w:r>
      <w:r w:rsidRPr="00451BFC">
        <w:rPr>
          <w:rFonts w:cs="Arial"/>
          <w:szCs w:val="22"/>
          <w:highlight w:val="yellow"/>
        </w:rPr>
        <w:t xml:space="preserve">with </w:t>
      </w:r>
      <w:r>
        <w:rPr>
          <w:rFonts w:cs="Arial"/>
          <w:szCs w:val="22"/>
          <w:highlight w:val="yellow"/>
        </w:rPr>
        <w:t>attractive</w:t>
      </w:r>
      <w:r w:rsidRPr="00451BFC">
        <w:rPr>
          <w:rFonts w:cs="Arial"/>
          <w:szCs w:val="22"/>
          <w:highlight w:val="yellow"/>
        </w:rPr>
        <w:t xml:space="preserve"> returns are highly prioritised</w:t>
      </w:r>
    </w:p>
    <w:p w:rsidR="00346F69" w:rsidRDefault="00346F69" w:rsidP="00763A7F">
      <w:pPr>
        <w:pBdr>
          <w:top w:val="single" w:sz="4" w:space="1" w:color="auto"/>
          <w:left w:val="single" w:sz="4" w:space="4" w:color="auto"/>
          <w:bottom w:val="single" w:sz="4" w:space="1" w:color="auto"/>
          <w:right w:val="single" w:sz="4" w:space="4" w:color="auto"/>
        </w:pBdr>
        <w:jc w:val="both"/>
        <w:rPr>
          <w:rFonts w:cs="Arial"/>
          <w:szCs w:val="22"/>
        </w:rPr>
      </w:pPr>
      <w:r w:rsidRPr="00346F69">
        <w:rPr>
          <w:rFonts w:cs="Arial"/>
          <w:szCs w:val="22"/>
          <w:highlight w:val="yellow"/>
        </w:rPr>
        <w:t xml:space="preserve">6. Reduction </w:t>
      </w:r>
      <w:r w:rsidRPr="00451BFC">
        <w:rPr>
          <w:rFonts w:cs="Arial"/>
          <w:szCs w:val="22"/>
          <w:highlight w:val="yellow"/>
        </w:rPr>
        <w:t xml:space="preserve">in </w:t>
      </w:r>
      <w:r>
        <w:rPr>
          <w:rFonts w:cs="Arial"/>
          <w:szCs w:val="22"/>
          <w:highlight w:val="yellow"/>
        </w:rPr>
        <w:t xml:space="preserve">non-essential </w:t>
      </w:r>
      <w:r w:rsidRPr="00451BFC">
        <w:rPr>
          <w:rFonts w:cs="Arial"/>
          <w:szCs w:val="22"/>
          <w:highlight w:val="yellow"/>
        </w:rPr>
        <w:t xml:space="preserve">organisational expenditure allocations (where capacity exists and is supported by historical trends), </w:t>
      </w:r>
      <w:r w:rsidRPr="00346F69">
        <w:rPr>
          <w:rFonts w:cs="Arial"/>
          <w:szCs w:val="22"/>
          <w:highlight w:val="yellow"/>
        </w:rPr>
        <w:t>and</w:t>
      </w:r>
    </w:p>
    <w:p w:rsidR="00346F69" w:rsidRDefault="00346F69" w:rsidP="00763A7F">
      <w:pPr>
        <w:pBdr>
          <w:top w:val="single" w:sz="4" w:space="1" w:color="auto"/>
          <w:left w:val="single" w:sz="4" w:space="4" w:color="auto"/>
          <w:bottom w:val="single" w:sz="4" w:space="1" w:color="auto"/>
          <w:right w:val="single" w:sz="4" w:space="4" w:color="auto"/>
        </w:pBdr>
        <w:jc w:val="both"/>
        <w:rPr>
          <w:rFonts w:cs="Arial"/>
          <w:szCs w:val="22"/>
        </w:rPr>
      </w:pPr>
      <w:r w:rsidRPr="00346F69">
        <w:rPr>
          <w:rFonts w:cs="Arial"/>
          <w:szCs w:val="22"/>
          <w:highlight w:val="yellow"/>
        </w:rPr>
        <w:lastRenderedPageBreak/>
        <w:t xml:space="preserve">7. Initiatives </w:t>
      </w:r>
      <w:r w:rsidRPr="00451BFC">
        <w:rPr>
          <w:rFonts w:cs="Arial"/>
          <w:szCs w:val="22"/>
          <w:highlight w:val="yellow"/>
        </w:rPr>
        <w:t>arising from Council’s Continuous Improvement Program, Marrickville 360. This is a staff led program aimed at (among many other things) reducing waste, duplication and using technology to save time and money</w:t>
      </w:r>
    </w:p>
    <w:p w:rsidR="00763A7F" w:rsidRDefault="00763A7F" w:rsidP="00763A7F">
      <w:pPr>
        <w:pBdr>
          <w:top w:val="single" w:sz="4" w:space="1" w:color="auto"/>
          <w:left w:val="single" w:sz="4" w:space="4" w:color="auto"/>
          <w:bottom w:val="single" w:sz="4" w:space="1" w:color="auto"/>
          <w:right w:val="single" w:sz="4" w:space="4" w:color="auto"/>
        </w:pBdr>
        <w:jc w:val="both"/>
        <w:rPr>
          <w:rFonts w:cs="Arial"/>
          <w:szCs w:val="22"/>
        </w:rPr>
      </w:pPr>
    </w:p>
    <w:p w:rsidR="00D60EA5" w:rsidRPr="00A35E66" w:rsidRDefault="007304A8" w:rsidP="006607B9">
      <w:pPr>
        <w:pStyle w:val="Heading1"/>
      </w:pPr>
      <w:bookmarkStart w:id="36" w:name="_Toc401138380"/>
      <w:r w:rsidRPr="00A35E66">
        <w:t>List of attachments</w:t>
      </w:r>
      <w:bookmarkEnd w:id="36"/>
    </w:p>
    <w:p w:rsidR="006C0DA7" w:rsidRPr="00A35E66" w:rsidRDefault="005C4769" w:rsidP="005C4769">
      <w:pPr>
        <w:pStyle w:val="BodyText"/>
      </w:pPr>
      <w:r w:rsidRPr="00A35E66">
        <w:t xml:space="preserve">The following is a list of the supporting documents to include with </w:t>
      </w:r>
      <w:proofErr w:type="gramStart"/>
      <w:r w:rsidRPr="00A35E66">
        <w:t>your  application</w:t>
      </w:r>
      <w:proofErr w:type="gramEnd"/>
      <w:r w:rsidR="003F0F2B" w:rsidRPr="00A35E66">
        <w:t xml:space="preserve">.  </w:t>
      </w:r>
      <w:r w:rsidR="00D83471" w:rsidRPr="00A35E66">
        <w:t>Some of these attachments will be mandatory to all special variation applications</w:t>
      </w:r>
      <w:r w:rsidR="00E70AC8" w:rsidRPr="00A35E66">
        <w:t xml:space="preserve"> </w:t>
      </w:r>
      <w:proofErr w:type="spellStart"/>
      <w:r w:rsidR="00E70AC8" w:rsidRPr="00A35E66">
        <w:t>eg</w:t>
      </w:r>
      <w:proofErr w:type="spellEnd"/>
      <w:r w:rsidR="00E70AC8" w:rsidRPr="00A35E66">
        <w:t>, Attachment 1, extracts from the Community Strategic Plan</w:t>
      </w:r>
      <w:r w:rsidR="00D83471" w:rsidRPr="00A35E66">
        <w:t xml:space="preserve">. </w:t>
      </w:r>
      <w:r w:rsidR="00E70AC8" w:rsidRPr="00A35E66">
        <w:t xml:space="preserve"> Other attachments </w:t>
      </w:r>
      <w:r w:rsidR="00343EAD" w:rsidRPr="00A35E66">
        <w:t>will be</w:t>
      </w:r>
      <w:r w:rsidR="00E70AC8" w:rsidRPr="00A35E66">
        <w:t xml:space="preserve"> required </w:t>
      </w:r>
      <w:r w:rsidR="00343EAD" w:rsidRPr="00A35E66">
        <w:t>from some, but not all, councils</w:t>
      </w:r>
      <w:r w:rsidR="000705CD" w:rsidRPr="00A35E66">
        <w:t xml:space="preserve">.  For example, Attachment 10, extracts from the Asset Management Plan, would be required from a council seeking approval of a special variation to fund infrastructure.  </w:t>
      </w:r>
      <w:r w:rsidR="003F0F2B" w:rsidRPr="00A35E66">
        <w:t xml:space="preserve">Councils should </w:t>
      </w:r>
      <w:r w:rsidR="000705CD" w:rsidRPr="00A35E66">
        <w:t xml:space="preserve">submit </w:t>
      </w:r>
      <w:r w:rsidR="00FF1230" w:rsidRPr="00A35E66">
        <w:t xml:space="preserve">their application forms and </w:t>
      </w:r>
      <w:r w:rsidR="000705CD" w:rsidRPr="00A35E66">
        <w:t>attachments online through the Council Portal i</w:t>
      </w:r>
      <w:r w:rsidR="003F0F2B" w:rsidRPr="00A35E66">
        <w:t xml:space="preserve">n the </w:t>
      </w:r>
      <w:r w:rsidR="000705CD" w:rsidRPr="00A35E66">
        <w:t>following order</w:t>
      </w:r>
      <w:r w:rsidR="003F0F2B" w:rsidRPr="00A35E66">
        <w:t>.</w:t>
      </w:r>
    </w:p>
    <w:p w:rsidR="00303275" w:rsidRPr="00A35E66" w:rsidRDefault="00303275">
      <w:pPr>
        <w:rPr>
          <w:szCs w:val="21"/>
        </w:rPr>
      </w:pPr>
      <w:r w:rsidRPr="00A35E66">
        <w:br w:type="page"/>
      </w:r>
    </w:p>
    <w:tbl>
      <w:tblPr>
        <w:tblW w:w="0" w:type="auto"/>
        <w:tblBorders>
          <w:top w:val="single" w:sz="8" w:space="0" w:color="7F7F7F" w:themeColor="text1" w:themeTint="80"/>
          <w:bottom w:val="single" w:sz="8" w:space="0" w:color="7F7F7F" w:themeColor="text1" w:themeTint="80"/>
        </w:tblBorders>
        <w:tblLook w:val="01E0"/>
      </w:tblPr>
      <w:tblGrid>
        <w:gridCol w:w="7040"/>
        <w:gridCol w:w="1114"/>
      </w:tblGrid>
      <w:tr w:rsidR="005C4769" w:rsidRPr="00A35E66" w:rsidTr="002550E3">
        <w:tc>
          <w:tcPr>
            <w:tcW w:w="7040" w:type="dxa"/>
            <w:tcBorders>
              <w:top w:val="single" w:sz="8" w:space="0" w:color="7F7F7F" w:themeColor="text1" w:themeTint="80"/>
              <w:bottom w:val="single" w:sz="4" w:space="0" w:color="7F7F7F" w:themeColor="text1" w:themeTint="80"/>
            </w:tcBorders>
            <w:vAlign w:val="center"/>
          </w:tcPr>
          <w:p w:rsidR="005C4769" w:rsidRPr="00A35E66" w:rsidRDefault="005C4769" w:rsidP="006D3A62">
            <w:pPr>
              <w:pStyle w:val="TableTextColumnHeading"/>
            </w:pPr>
            <w:r w:rsidRPr="00A35E66">
              <w:lastRenderedPageBreak/>
              <w:t>Item</w:t>
            </w:r>
          </w:p>
        </w:tc>
        <w:tc>
          <w:tcPr>
            <w:tcW w:w="1114" w:type="dxa"/>
            <w:tcBorders>
              <w:top w:val="single" w:sz="8" w:space="0" w:color="7F7F7F" w:themeColor="text1" w:themeTint="80"/>
              <w:bottom w:val="single" w:sz="4" w:space="0" w:color="7F7F7F" w:themeColor="text1" w:themeTint="80"/>
            </w:tcBorders>
            <w:vAlign w:val="center"/>
          </w:tcPr>
          <w:p w:rsidR="005C4769" w:rsidRPr="00A35E66" w:rsidRDefault="005C4769" w:rsidP="006D3A62">
            <w:pPr>
              <w:pStyle w:val="TableTextColumnHeading"/>
            </w:pPr>
            <w:r w:rsidRPr="00A35E66">
              <w:t>Included?</w:t>
            </w:r>
          </w:p>
        </w:tc>
      </w:tr>
      <w:tr w:rsidR="005C4769" w:rsidRPr="00A35E66" w:rsidTr="002550E3">
        <w:tc>
          <w:tcPr>
            <w:tcW w:w="7040" w:type="dxa"/>
            <w:tcBorders>
              <w:top w:val="single" w:sz="4" w:space="0" w:color="7F7F7F" w:themeColor="text1" w:themeTint="80"/>
            </w:tcBorders>
            <w:vAlign w:val="center"/>
          </w:tcPr>
          <w:p w:rsidR="005C4769" w:rsidRPr="00A35E66" w:rsidRDefault="00E70AC8" w:rsidP="00FF1230">
            <w:pPr>
              <w:pStyle w:val="TableTextEntries"/>
              <w:rPr>
                <w:b/>
              </w:rPr>
            </w:pPr>
            <w:r w:rsidRPr="00A35E66">
              <w:rPr>
                <w:b/>
              </w:rPr>
              <w:t xml:space="preserve">Mandatory </w:t>
            </w:r>
            <w:r w:rsidR="00FF1230" w:rsidRPr="00A35E66">
              <w:rPr>
                <w:b/>
              </w:rPr>
              <w:t xml:space="preserve">forms and </w:t>
            </w:r>
            <w:r w:rsidR="00303275" w:rsidRPr="00A35E66">
              <w:rPr>
                <w:b/>
              </w:rPr>
              <w:t>Attachments</w:t>
            </w:r>
          </w:p>
        </w:tc>
        <w:tc>
          <w:tcPr>
            <w:tcW w:w="1114" w:type="dxa"/>
            <w:tcBorders>
              <w:top w:val="single" w:sz="4" w:space="0" w:color="7F7F7F" w:themeColor="text1" w:themeTint="80"/>
            </w:tcBorders>
            <w:vAlign w:val="center"/>
          </w:tcPr>
          <w:p w:rsidR="005C4769" w:rsidRPr="00A35E66" w:rsidRDefault="005C4769" w:rsidP="006D3A62">
            <w:pPr>
              <w:pStyle w:val="TableTextEntries"/>
              <w:jc w:val="center"/>
              <w:rPr>
                <w:sz w:val="24"/>
                <w:szCs w:val="24"/>
              </w:rPr>
            </w:pPr>
          </w:p>
        </w:tc>
      </w:tr>
      <w:tr w:rsidR="00FF1230" w:rsidRPr="00A35E66" w:rsidTr="002550E3">
        <w:tc>
          <w:tcPr>
            <w:tcW w:w="7040" w:type="dxa"/>
            <w:vAlign w:val="center"/>
          </w:tcPr>
          <w:p w:rsidR="00FF1230" w:rsidRPr="00A35E66" w:rsidRDefault="00FF1230" w:rsidP="001433B9">
            <w:pPr>
              <w:pStyle w:val="TableTextEntries"/>
            </w:pPr>
            <w:r w:rsidRPr="00A35E66">
              <w:t xml:space="preserve">Part A </w:t>
            </w:r>
            <w:r w:rsidR="001433B9" w:rsidRPr="00A35E66">
              <w:t>Section 508A and Section 508(2) Application form (</w:t>
            </w:r>
            <w:r w:rsidR="00F07C7D" w:rsidRPr="00A35E66">
              <w:t xml:space="preserve">Excel </w:t>
            </w:r>
            <w:r w:rsidR="001433B9" w:rsidRPr="00A35E66">
              <w:t xml:space="preserve">spreadsheet) </w:t>
            </w:r>
          </w:p>
        </w:tc>
        <w:tc>
          <w:tcPr>
            <w:tcW w:w="1114" w:type="dxa"/>
            <w:vAlign w:val="center"/>
          </w:tcPr>
          <w:p w:rsidR="00FF1230" w:rsidRPr="00A35E66" w:rsidRDefault="00A37961" w:rsidP="000705E4">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1433B9" w:rsidP="001433B9">
            <w:pPr>
              <w:pStyle w:val="TableTextEntries"/>
            </w:pPr>
            <w:r w:rsidRPr="00A35E66">
              <w:t>Part B Application form (Word document)</w:t>
            </w:r>
            <w:r w:rsidR="00122DB2" w:rsidRPr="00A35E66">
              <w:t xml:space="preserve"> – this document</w:t>
            </w:r>
          </w:p>
        </w:tc>
        <w:tc>
          <w:tcPr>
            <w:tcW w:w="1114" w:type="dxa"/>
            <w:vAlign w:val="center"/>
          </w:tcPr>
          <w:p w:rsidR="00FF1230" w:rsidRPr="00A35E66" w:rsidRDefault="005476BB" w:rsidP="000705E4">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0705E4">
            <w:pPr>
              <w:pStyle w:val="TableTextEntries"/>
            </w:pPr>
            <w:r w:rsidRPr="00A35E66">
              <w:t>Attachment 1: Relevant extracts from the Community Strategic Plan</w:t>
            </w:r>
            <w:r w:rsidR="005476BB">
              <w:t xml:space="preserve"> (Resource Strategy)</w:t>
            </w:r>
          </w:p>
        </w:tc>
        <w:tc>
          <w:tcPr>
            <w:tcW w:w="1114" w:type="dxa"/>
            <w:vAlign w:val="center"/>
          </w:tcPr>
          <w:p w:rsidR="00FF1230" w:rsidRPr="00A35E66" w:rsidRDefault="005476BB" w:rsidP="000705E4">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6C0DA7">
            <w:pPr>
              <w:pStyle w:val="TableTextEntries"/>
            </w:pPr>
            <w:r w:rsidRPr="00A35E66">
              <w:t>Attachment 2: Delivery Program</w:t>
            </w:r>
          </w:p>
        </w:tc>
        <w:tc>
          <w:tcPr>
            <w:tcW w:w="1114" w:type="dxa"/>
            <w:vAlign w:val="center"/>
          </w:tcPr>
          <w:p w:rsidR="00FF1230" w:rsidRPr="00A35E66" w:rsidRDefault="005476BB" w:rsidP="006D3A62">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C84686">
            <w:pPr>
              <w:pStyle w:val="TableTextEntries"/>
            </w:pPr>
            <w:r w:rsidRPr="00A35E66">
              <w:t>Attachment 3: Long Term Financial Plan</w:t>
            </w:r>
            <w:r w:rsidR="00520D87" w:rsidRPr="00A35E66">
              <w:t xml:space="preserve"> </w:t>
            </w:r>
            <w:r w:rsidR="00C84686" w:rsidRPr="00A35E66">
              <w:t xml:space="preserve">with </w:t>
            </w:r>
            <w:r w:rsidR="00FB360D" w:rsidRPr="00A35E66">
              <w:t xml:space="preserve">projected (General Fund) </w:t>
            </w:r>
            <w:r w:rsidR="00520D87" w:rsidRPr="00A35E66">
              <w:t>financial statements (</w:t>
            </w:r>
            <w:r w:rsidR="005C3E6E" w:rsidRPr="00A35E66">
              <w:t xml:space="preserve">Income, Cash Flow and Financial Position) </w:t>
            </w:r>
            <w:r w:rsidR="00520D87" w:rsidRPr="00A35E66">
              <w:t xml:space="preserve">in Excel </w:t>
            </w:r>
            <w:r w:rsidR="005C3E6E" w:rsidRPr="00A35E66">
              <w:t xml:space="preserve">format </w:t>
            </w:r>
            <w:r w:rsidR="00520D87" w:rsidRPr="00A35E66">
              <w:t xml:space="preserve"> </w:t>
            </w:r>
          </w:p>
        </w:tc>
        <w:tc>
          <w:tcPr>
            <w:tcW w:w="1114" w:type="dxa"/>
            <w:vAlign w:val="center"/>
          </w:tcPr>
          <w:p w:rsidR="00FF1230" w:rsidRPr="00A35E66" w:rsidRDefault="005476BB" w:rsidP="006D3A62">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8B7ECB">
            <w:pPr>
              <w:pStyle w:val="TableTextEntries"/>
              <w:rPr>
                <w:b/>
              </w:rPr>
            </w:pPr>
            <w:r w:rsidRPr="00A35E66">
              <w:t xml:space="preserve">Attachment 4: </w:t>
            </w:r>
            <w:proofErr w:type="spellStart"/>
            <w:r w:rsidRPr="00A35E66">
              <w:t>TCorp</w:t>
            </w:r>
            <w:proofErr w:type="spellEnd"/>
            <w:r w:rsidRPr="00A35E66">
              <w:t xml:space="preserve"> report on financial sustainability</w:t>
            </w:r>
          </w:p>
        </w:tc>
        <w:tc>
          <w:tcPr>
            <w:tcW w:w="1114" w:type="dxa"/>
            <w:vAlign w:val="center"/>
          </w:tcPr>
          <w:p w:rsidR="00FF1230" w:rsidRPr="00A35E66" w:rsidRDefault="005476BB" w:rsidP="006D3A62">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8B7ECB">
            <w:pPr>
              <w:pStyle w:val="TableTextEntries"/>
            </w:pPr>
            <w:r w:rsidRPr="00A35E66">
              <w:t>Attachment 5: Media releases, public meeting notices, newspaper articles, fact sheets relating to the rate increase and special variation</w:t>
            </w:r>
          </w:p>
        </w:tc>
        <w:tc>
          <w:tcPr>
            <w:tcW w:w="1114" w:type="dxa"/>
            <w:vAlign w:val="center"/>
          </w:tcPr>
          <w:p w:rsidR="00FF1230" w:rsidRPr="00A35E66" w:rsidRDefault="005476BB" w:rsidP="000705E4">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8B7ECB">
            <w:pPr>
              <w:pStyle w:val="TableTextEntries"/>
            </w:pPr>
            <w:r w:rsidRPr="00A35E66">
              <w:t>Attachment 6: Community feedback (including surveys and results if applicable)</w:t>
            </w:r>
          </w:p>
        </w:tc>
        <w:tc>
          <w:tcPr>
            <w:tcW w:w="1114" w:type="dxa"/>
            <w:vAlign w:val="center"/>
          </w:tcPr>
          <w:p w:rsidR="00FF1230" w:rsidRPr="00A35E66" w:rsidRDefault="005476BB" w:rsidP="000705E4">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0705E4">
            <w:pPr>
              <w:pStyle w:val="TableTextEntries"/>
            </w:pPr>
            <w:r w:rsidRPr="00A35E66">
              <w:t>Attachment 7: Hardship Policy</w:t>
            </w:r>
          </w:p>
        </w:tc>
        <w:tc>
          <w:tcPr>
            <w:tcW w:w="1114" w:type="dxa"/>
            <w:vAlign w:val="center"/>
          </w:tcPr>
          <w:p w:rsidR="00FF1230" w:rsidRPr="00A35E66" w:rsidRDefault="009B2445" w:rsidP="000705E4">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8B7ECB">
            <w:pPr>
              <w:pStyle w:val="TableTextEntries"/>
            </w:pPr>
            <w:r w:rsidRPr="00A35E66">
              <w:t>Attachment 8: Resolution to apply for the special variation</w:t>
            </w:r>
          </w:p>
        </w:tc>
        <w:tc>
          <w:tcPr>
            <w:tcW w:w="1114" w:type="dxa"/>
            <w:vAlign w:val="center"/>
          </w:tcPr>
          <w:p w:rsidR="00FF1230" w:rsidRPr="00A35E66" w:rsidRDefault="005476BB" w:rsidP="000705E4">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8B7ECB">
            <w:pPr>
              <w:pStyle w:val="TableTextEntries"/>
            </w:pPr>
            <w:r w:rsidRPr="00A35E66">
              <w:t>Attachment 9: Certification</w:t>
            </w:r>
          </w:p>
        </w:tc>
        <w:tc>
          <w:tcPr>
            <w:tcW w:w="1114" w:type="dxa"/>
            <w:vAlign w:val="center"/>
          </w:tcPr>
          <w:p w:rsidR="00FF1230" w:rsidRPr="00A35E66" w:rsidRDefault="005476BB" w:rsidP="000705E4">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8B7ECB">
            <w:pPr>
              <w:pStyle w:val="TableTextEntries"/>
            </w:pPr>
            <w:r w:rsidRPr="00A35E66">
              <w:rPr>
                <w:b/>
              </w:rPr>
              <w:t xml:space="preserve">Other </w:t>
            </w:r>
            <w:r w:rsidR="00303275" w:rsidRPr="00A35E66">
              <w:rPr>
                <w:b/>
              </w:rPr>
              <w:t>Attachments</w:t>
            </w:r>
          </w:p>
        </w:tc>
        <w:tc>
          <w:tcPr>
            <w:tcW w:w="1114" w:type="dxa"/>
            <w:vAlign w:val="center"/>
          </w:tcPr>
          <w:p w:rsidR="00FF1230" w:rsidRPr="00A35E66" w:rsidRDefault="00FF1230" w:rsidP="006D3A62">
            <w:pPr>
              <w:pStyle w:val="TableTextEntries"/>
              <w:jc w:val="center"/>
              <w:rPr>
                <w:sz w:val="24"/>
                <w:szCs w:val="24"/>
              </w:rPr>
            </w:pPr>
          </w:p>
        </w:tc>
      </w:tr>
      <w:tr w:rsidR="00FF1230" w:rsidRPr="00A35E66" w:rsidTr="002550E3">
        <w:tc>
          <w:tcPr>
            <w:tcW w:w="7040" w:type="dxa"/>
            <w:vAlign w:val="center"/>
          </w:tcPr>
          <w:p w:rsidR="00FF1230" w:rsidRPr="00A35E66" w:rsidRDefault="00FF1230" w:rsidP="008B7ECB">
            <w:pPr>
              <w:pStyle w:val="TableTextEntries"/>
            </w:pPr>
            <w:r w:rsidRPr="00A35E66">
              <w:t xml:space="preserve">Attachment 10: Relevant extracts from the Asset Management Plan </w:t>
            </w:r>
          </w:p>
        </w:tc>
        <w:tc>
          <w:tcPr>
            <w:tcW w:w="1114" w:type="dxa"/>
            <w:vAlign w:val="center"/>
          </w:tcPr>
          <w:p w:rsidR="00FF1230" w:rsidRPr="00A35E66" w:rsidRDefault="005476BB" w:rsidP="006D3A62">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2550E3">
            <w:pPr>
              <w:pStyle w:val="TableTextEntries"/>
            </w:pPr>
            <w:r w:rsidRPr="00A35E66">
              <w:t>Attachment 11: Past Instruments of Approval (if applicable)</w:t>
            </w:r>
          </w:p>
        </w:tc>
        <w:tc>
          <w:tcPr>
            <w:tcW w:w="1114" w:type="dxa"/>
            <w:vAlign w:val="center"/>
          </w:tcPr>
          <w:p w:rsidR="00FF1230" w:rsidRPr="00A35E66" w:rsidRDefault="005476BB" w:rsidP="006D3A62">
            <w:pPr>
              <w:pStyle w:val="TableTextEntries"/>
              <w:jc w:val="center"/>
              <w:rPr>
                <w:sz w:val="24"/>
                <w:szCs w:val="24"/>
              </w:rPr>
            </w:pPr>
            <w:r>
              <w:rPr>
                <w:sz w:val="24"/>
                <w:szCs w:val="24"/>
              </w:rPr>
              <w:t>X</w:t>
            </w:r>
          </w:p>
        </w:tc>
      </w:tr>
      <w:tr w:rsidR="00FF1230" w:rsidRPr="00A35E66" w:rsidTr="002550E3">
        <w:tc>
          <w:tcPr>
            <w:tcW w:w="7040" w:type="dxa"/>
            <w:vAlign w:val="center"/>
          </w:tcPr>
          <w:p w:rsidR="00FF1230" w:rsidRPr="00A35E66" w:rsidRDefault="00FF1230" w:rsidP="00343EAD">
            <w:pPr>
              <w:pStyle w:val="TableTextEntries"/>
            </w:pPr>
            <w:r w:rsidRPr="00A35E66">
              <w:t>Attachment 12: Resolution to adopt the revised Community Strategic Plan (if necessary) and/or Delivery Program</w:t>
            </w:r>
          </w:p>
        </w:tc>
        <w:tc>
          <w:tcPr>
            <w:tcW w:w="1114" w:type="dxa"/>
            <w:vAlign w:val="center"/>
          </w:tcPr>
          <w:p w:rsidR="00FF1230" w:rsidRPr="00A35E66" w:rsidRDefault="005476BB" w:rsidP="006D3A62">
            <w:pPr>
              <w:pStyle w:val="TableTextEntries"/>
              <w:jc w:val="center"/>
              <w:rPr>
                <w:sz w:val="24"/>
                <w:szCs w:val="24"/>
              </w:rPr>
            </w:pPr>
            <w:r>
              <w:rPr>
                <w:sz w:val="24"/>
                <w:szCs w:val="24"/>
              </w:rPr>
              <w:t>X</w:t>
            </w:r>
          </w:p>
        </w:tc>
      </w:tr>
    </w:tbl>
    <w:p w:rsidR="003F55A0" w:rsidRDefault="003F55A0" w:rsidP="003F55A0">
      <w:pPr>
        <w:rPr>
          <w:b/>
          <w:sz w:val="36"/>
          <w:szCs w:val="36"/>
        </w:rPr>
      </w:pPr>
    </w:p>
    <w:p w:rsidR="00F40DCD" w:rsidRDefault="000A38DC" w:rsidP="003F55A0">
      <w:pPr>
        <w:rPr>
          <w:sz w:val="32"/>
          <w:szCs w:val="32"/>
        </w:rPr>
      </w:pPr>
      <w:r>
        <w:rPr>
          <w:sz w:val="32"/>
          <w:szCs w:val="32"/>
        </w:rPr>
        <w:t xml:space="preserve">NOTE: </w:t>
      </w:r>
      <w:r w:rsidRPr="000A38DC">
        <w:rPr>
          <w:sz w:val="32"/>
          <w:szCs w:val="32"/>
        </w:rPr>
        <w:t>All of the above attachments are included in the</w:t>
      </w:r>
      <w:r w:rsidR="00F40DCD">
        <w:rPr>
          <w:sz w:val="32"/>
          <w:szCs w:val="32"/>
        </w:rPr>
        <w:t xml:space="preserve"> table of </w:t>
      </w:r>
      <w:r w:rsidR="0031148B">
        <w:rPr>
          <w:sz w:val="32"/>
          <w:szCs w:val="32"/>
        </w:rPr>
        <w:t>R</w:t>
      </w:r>
      <w:r w:rsidR="00F40DCD">
        <w:rPr>
          <w:sz w:val="32"/>
          <w:szCs w:val="32"/>
        </w:rPr>
        <w:t xml:space="preserve">eference </w:t>
      </w:r>
      <w:r w:rsidR="0031148B">
        <w:rPr>
          <w:sz w:val="32"/>
          <w:szCs w:val="32"/>
        </w:rPr>
        <w:t>I</w:t>
      </w:r>
      <w:r w:rsidR="00F40DCD">
        <w:rPr>
          <w:sz w:val="32"/>
          <w:szCs w:val="32"/>
        </w:rPr>
        <w:t>nformation on the next page</w:t>
      </w:r>
      <w:r w:rsidR="0031148B">
        <w:rPr>
          <w:sz w:val="32"/>
          <w:szCs w:val="32"/>
        </w:rPr>
        <w:t>.</w:t>
      </w:r>
    </w:p>
    <w:p w:rsidR="00F40DCD" w:rsidRDefault="00F40DCD" w:rsidP="003F55A0">
      <w:pPr>
        <w:rPr>
          <w:sz w:val="32"/>
          <w:szCs w:val="32"/>
        </w:rPr>
      </w:pPr>
    </w:p>
    <w:p w:rsidR="00F40DCD" w:rsidRDefault="00F40DCD" w:rsidP="003F55A0">
      <w:pPr>
        <w:rPr>
          <w:sz w:val="32"/>
          <w:szCs w:val="32"/>
        </w:rPr>
      </w:pPr>
    </w:p>
    <w:p w:rsidR="00F40DCD" w:rsidRDefault="00F40DCD" w:rsidP="003F55A0">
      <w:pPr>
        <w:rPr>
          <w:sz w:val="32"/>
          <w:szCs w:val="32"/>
        </w:rPr>
      </w:pPr>
    </w:p>
    <w:p w:rsidR="00F40DCD" w:rsidRDefault="00F40DCD" w:rsidP="003F55A0">
      <w:pPr>
        <w:rPr>
          <w:sz w:val="32"/>
          <w:szCs w:val="32"/>
        </w:rPr>
      </w:pPr>
    </w:p>
    <w:p w:rsidR="00F40DCD" w:rsidRDefault="00F40DCD" w:rsidP="003F55A0">
      <w:pPr>
        <w:rPr>
          <w:sz w:val="32"/>
          <w:szCs w:val="32"/>
        </w:rPr>
      </w:pPr>
    </w:p>
    <w:p w:rsidR="00F40DCD" w:rsidRDefault="00F40DCD" w:rsidP="003F55A0">
      <w:pPr>
        <w:rPr>
          <w:sz w:val="32"/>
          <w:szCs w:val="32"/>
        </w:rPr>
      </w:pPr>
    </w:p>
    <w:p w:rsidR="00F40DCD" w:rsidRDefault="00F40DCD" w:rsidP="003F55A0">
      <w:pPr>
        <w:rPr>
          <w:sz w:val="32"/>
          <w:szCs w:val="32"/>
        </w:rPr>
      </w:pPr>
    </w:p>
    <w:p w:rsidR="00F40DCD" w:rsidRDefault="00F40DCD" w:rsidP="003F55A0">
      <w:pPr>
        <w:rPr>
          <w:sz w:val="32"/>
          <w:szCs w:val="32"/>
        </w:rPr>
      </w:pPr>
    </w:p>
    <w:p w:rsidR="00F40DCD" w:rsidRDefault="00F40DCD" w:rsidP="003F55A0">
      <w:pPr>
        <w:rPr>
          <w:sz w:val="32"/>
          <w:szCs w:val="32"/>
        </w:rPr>
      </w:pPr>
    </w:p>
    <w:p w:rsidR="00F40DCD" w:rsidRDefault="00F40DCD" w:rsidP="003F55A0">
      <w:pPr>
        <w:rPr>
          <w:sz w:val="32"/>
          <w:szCs w:val="32"/>
        </w:rPr>
      </w:pPr>
    </w:p>
    <w:p w:rsidR="000A38DC" w:rsidRPr="000A38DC" w:rsidRDefault="000A38DC" w:rsidP="003F55A0">
      <w:pPr>
        <w:rPr>
          <w:sz w:val="32"/>
          <w:szCs w:val="32"/>
        </w:rPr>
      </w:pPr>
      <w:r w:rsidRPr="000A38DC">
        <w:rPr>
          <w:sz w:val="32"/>
          <w:szCs w:val="32"/>
        </w:rPr>
        <w:t xml:space="preserve"> </w:t>
      </w:r>
    </w:p>
    <w:p w:rsidR="000A38DC" w:rsidRDefault="000A38DC" w:rsidP="003F55A0">
      <w:pPr>
        <w:rPr>
          <w:b/>
          <w:sz w:val="36"/>
          <w:szCs w:val="36"/>
        </w:rPr>
      </w:pPr>
    </w:p>
    <w:p w:rsidR="003F55A0" w:rsidRDefault="003F55A0" w:rsidP="003F55A0">
      <w:pPr>
        <w:rPr>
          <w:b/>
          <w:sz w:val="32"/>
          <w:szCs w:val="32"/>
        </w:rPr>
      </w:pPr>
      <w:r w:rsidRPr="0031148B">
        <w:rPr>
          <w:b/>
          <w:sz w:val="32"/>
          <w:szCs w:val="32"/>
        </w:rPr>
        <w:lastRenderedPageBreak/>
        <w:t>TABLE OF REFERENCE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378"/>
      </w:tblGrid>
      <w:tr w:rsidR="003F55A0" w:rsidTr="00DF2036">
        <w:trPr>
          <w:trHeight w:val="460"/>
        </w:trPr>
        <w:tc>
          <w:tcPr>
            <w:tcW w:w="1668" w:type="dxa"/>
            <w:shd w:val="clear" w:color="auto" w:fill="auto"/>
          </w:tcPr>
          <w:p w:rsidR="003F55A0" w:rsidRDefault="003F55A0" w:rsidP="0031148B">
            <w:r>
              <w:t>Appendix 01</w:t>
            </w:r>
          </w:p>
        </w:tc>
        <w:tc>
          <w:tcPr>
            <w:tcW w:w="6378" w:type="dxa"/>
            <w:shd w:val="clear" w:color="auto" w:fill="auto"/>
          </w:tcPr>
          <w:p w:rsidR="003F55A0" w:rsidRDefault="003F55A0" w:rsidP="0031148B">
            <w:r>
              <w:t xml:space="preserve">Resource Strategy </w:t>
            </w:r>
            <w:r w:rsidR="00297CAA">
              <w:t xml:space="preserve">(includes extracts of </w:t>
            </w:r>
            <w:proofErr w:type="spellStart"/>
            <w:r w:rsidR="00297CAA">
              <w:t>AMPs</w:t>
            </w:r>
            <w:proofErr w:type="spellEnd"/>
            <w:r w:rsidR="00297CAA">
              <w:t>)</w:t>
            </w:r>
          </w:p>
        </w:tc>
      </w:tr>
      <w:tr w:rsidR="000A38DC" w:rsidTr="00DF2036">
        <w:trPr>
          <w:trHeight w:val="410"/>
        </w:trPr>
        <w:tc>
          <w:tcPr>
            <w:tcW w:w="1668" w:type="dxa"/>
            <w:shd w:val="clear" w:color="auto" w:fill="auto"/>
          </w:tcPr>
          <w:p w:rsidR="000A38DC" w:rsidRDefault="00F40DCD" w:rsidP="003F55A0">
            <w:r>
              <w:t>Appendix 02</w:t>
            </w:r>
          </w:p>
        </w:tc>
        <w:tc>
          <w:tcPr>
            <w:tcW w:w="6378" w:type="dxa"/>
            <w:shd w:val="clear" w:color="auto" w:fill="auto"/>
          </w:tcPr>
          <w:p w:rsidR="0031148B" w:rsidRDefault="00F40DCD" w:rsidP="0031148B">
            <w:r>
              <w:t>Delivery Program</w:t>
            </w:r>
          </w:p>
        </w:tc>
      </w:tr>
      <w:tr w:rsidR="003F55A0" w:rsidTr="00DF2036">
        <w:trPr>
          <w:trHeight w:val="417"/>
        </w:trPr>
        <w:tc>
          <w:tcPr>
            <w:tcW w:w="1668" w:type="dxa"/>
            <w:shd w:val="clear" w:color="auto" w:fill="auto"/>
          </w:tcPr>
          <w:p w:rsidR="003F55A0" w:rsidRDefault="003F55A0" w:rsidP="00F40DCD">
            <w:r>
              <w:t>Appendix 0</w:t>
            </w:r>
            <w:r w:rsidR="00F40DCD">
              <w:t>3</w:t>
            </w:r>
            <w:r w:rsidR="00DF2036">
              <w:t>a</w:t>
            </w:r>
          </w:p>
        </w:tc>
        <w:tc>
          <w:tcPr>
            <w:tcW w:w="6378" w:type="dxa"/>
            <w:shd w:val="clear" w:color="auto" w:fill="auto"/>
          </w:tcPr>
          <w:p w:rsidR="003F55A0" w:rsidRDefault="003F55A0" w:rsidP="00DF2036">
            <w:r>
              <w:t>Long Term Financial Plan</w:t>
            </w:r>
          </w:p>
        </w:tc>
      </w:tr>
      <w:tr w:rsidR="00DF2036" w:rsidTr="00DF2036">
        <w:trPr>
          <w:trHeight w:val="409"/>
        </w:trPr>
        <w:tc>
          <w:tcPr>
            <w:tcW w:w="1668" w:type="dxa"/>
            <w:shd w:val="clear" w:color="auto" w:fill="auto"/>
          </w:tcPr>
          <w:p w:rsidR="00DF2036" w:rsidRDefault="00DF2036" w:rsidP="00F40DCD">
            <w:r>
              <w:t>Appendix 03b</w:t>
            </w:r>
          </w:p>
        </w:tc>
        <w:tc>
          <w:tcPr>
            <w:tcW w:w="6378" w:type="dxa"/>
            <w:shd w:val="clear" w:color="auto" w:fill="auto"/>
          </w:tcPr>
          <w:p w:rsidR="00DF2036" w:rsidRDefault="00DF2036" w:rsidP="0031148B">
            <w:r>
              <w:t>Long Term Financial Plan (Excel model)</w:t>
            </w:r>
          </w:p>
        </w:tc>
      </w:tr>
      <w:tr w:rsidR="003F55A0" w:rsidTr="00DF2036">
        <w:trPr>
          <w:trHeight w:val="409"/>
        </w:trPr>
        <w:tc>
          <w:tcPr>
            <w:tcW w:w="1668" w:type="dxa"/>
            <w:shd w:val="clear" w:color="auto" w:fill="auto"/>
          </w:tcPr>
          <w:p w:rsidR="003F55A0" w:rsidRDefault="003F55A0" w:rsidP="00F40DCD">
            <w:r>
              <w:t>Appendix 0</w:t>
            </w:r>
            <w:r w:rsidR="00F40DCD">
              <w:t>4</w:t>
            </w:r>
          </w:p>
        </w:tc>
        <w:tc>
          <w:tcPr>
            <w:tcW w:w="6378" w:type="dxa"/>
            <w:shd w:val="clear" w:color="auto" w:fill="auto"/>
          </w:tcPr>
          <w:p w:rsidR="003F55A0" w:rsidRDefault="003F55A0" w:rsidP="0031148B">
            <w:proofErr w:type="spellStart"/>
            <w:r>
              <w:t>TCorp</w:t>
            </w:r>
            <w:proofErr w:type="spellEnd"/>
            <w:r>
              <w:t xml:space="preserve"> Financial Assessment of Marrickville Council</w:t>
            </w:r>
          </w:p>
        </w:tc>
      </w:tr>
      <w:tr w:rsidR="003F55A0" w:rsidTr="00DF2036">
        <w:trPr>
          <w:trHeight w:val="428"/>
        </w:trPr>
        <w:tc>
          <w:tcPr>
            <w:tcW w:w="1668" w:type="dxa"/>
            <w:shd w:val="clear" w:color="auto" w:fill="auto"/>
          </w:tcPr>
          <w:p w:rsidR="003F55A0" w:rsidRDefault="003F55A0" w:rsidP="0031148B">
            <w:r>
              <w:t>Appendix 0</w:t>
            </w:r>
            <w:r w:rsidR="00F40DCD">
              <w:t>5</w:t>
            </w:r>
          </w:p>
        </w:tc>
        <w:tc>
          <w:tcPr>
            <w:tcW w:w="6378" w:type="dxa"/>
            <w:shd w:val="clear" w:color="auto" w:fill="auto"/>
          </w:tcPr>
          <w:p w:rsidR="003F55A0" w:rsidRDefault="003F55A0" w:rsidP="0031148B">
            <w:r>
              <w:t>Community Satisfaction Survey</w:t>
            </w:r>
          </w:p>
        </w:tc>
      </w:tr>
      <w:tr w:rsidR="003F55A0" w:rsidTr="00DF2036">
        <w:trPr>
          <w:trHeight w:val="405"/>
        </w:trPr>
        <w:tc>
          <w:tcPr>
            <w:tcW w:w="1668" w:type="dxa"/>
            <w:shd w:val="clear" w:color="auto" w:fill="auto"/>
          </w:tcPr>
          <w:p w:rsidR="003F55A0" w:rsidRDefault="003F55A0" w:rsidP="00F40DCD">
            <w:r>
              <w:t>Appendix 0</w:t>
            </w:r>
            <w:r w:rsidR="00F40DCD">
              <w:t>6</w:t>
            </w:r>
          </w:p>
        </w:tc>
        <w:tc>
          <w:tcPr>
            <w:tcW w:w="6378" w:type="dxa"/>
            <w:shd w:val="clear" w:color="auto" w:fill="auto"/>
          </w:tcPr>
          <w:p w:rsidR="003F55A0" w:rsidRDefault="003F55A0" w:rsidP="0031148B">
            <w:r>
              <w:t>Community Engagement Plan &amp; Submissions</w:t>
            </w:r>
          </w:p>
        </w:tc>
      </w:tr>
      <w:tr w:rsidR="003F55A0" w:rsidTr="00DF2036">
        <w:trPr>
          <w:trHeight w:val="426"/>
        </w:trPr>
        <w:tc>
          <w:tcPr>
            <w:tcW w:w="1668" w:type="dxa"/>
            <w:shd w:val="clear" w:color="auto" w:fill="auto"/>
          </w:tcPr>
          <w:p w:rsidR="003F55A0" w:rsidRDefault="003F55A0" w:rsidP="00F40DCD">
            <w:r>
              <w:t>Appendix 0</w:t>
            </w:r>
            <w:r w:rsidR="00F40DCD">
              <w:t>7</w:t>
            </w:r>
          </w:p>
        </w:tc>
        <w:tc>
          <w:tcPr>
            <w:tcW w:w="6378" w:type="dxa"/>
            <w:shd w:val="clear" w:color="auto" w:fill="auto"/>
          </w:tcPr>
          <w:p w:rsidR="003F55A0" w:rsidRDefault="003F55A0" w:rsidP="0031148B">
            <w:r>
              <w:t>Report to Council – SRV Community Consultation Feedback</w:t>
            </w:r>
          </w:p>
        </w:tc>
      </w:tr>
      <w:tr w:rsidR="00F40DCD" w:rsidTr="00DF2036">
        <w:trPr>
          <w:trHeight w:val="404"/>
        </w:trPr>
        <w:tc>
          <w:tcPr>
            <w:tcW w:w="1668" w:type="dxa"/>
            <w:shd w:val="clear" w:color="auto" w:fill="auto"/>
          </w:tcPr>
          <w:p w:rsidR="00F40DCD" w:rsidRDefault="00F40DCD" w:rsidP="003F55A0">
            <w:r>
              <w:t>Appendix 08</w:t>
            </w:r>
          </w:p>
        </w:tc>
        <w:tc>
          <w:tcPr>
            <w:tcW w:w="6378" w:type="dxa"/>
            <w:shd w:val="clear" w:color="auto" w:fill="auto"/>
          </w:tcPr>
          <w:p w:rsidR="00F40DCD" w:rsidRDefault="00F40DCD" w:rsidP="0031148B">
            <w:r>
              <w:t>Media Releases, Articles, Fact Sheets, Advertisements etc</w:t>
            </w:r>
          </w:p>
        </w:tc>
      </w:tr>
      <w:tr w:rsidR="003F55A0" w:rsidTr="00DF2036">
        <w:trPr>
          <w:trHeight w:val="423"/>
        </w:trPr>
        <w:tc>
          <w:tcPr>
            <w:tcW w:w="1668" w:type="dxa"/>
            <w:shd w:val="clear" w:color="auto" w:fill="auto"/>
          </w:tcPr>
          <w:p w:rsidR="003F55A0" w:rsidRDefault="003F55A0" w:rsidP="00F40DCD">
            <w:r>
              <w:t>Appendix 0</w:t>
            </w:r>
            <w:r w:rsidR="00F40DCD">
              <w:t>9</w:t>
            </w:r>
          </w:p>
        </w:tc>
        <w:tc>
          <w:tcPr>
            <w:tcW w:w="6378" w:type="dxa"/>
            <w:shd w:val="clear" w:color="auto" w:fill="auto"/>
          </w:tcPr>
          <w:p w:rsidR="003F55A0" w:rsidRDefault="003F55A0" w:rsidP="0031148B">
            <w:proofErr w:type="spellStart"/>
            <w:r>
              <w:t>Micromex</w:t>
            </w:r>
            <w:proofErr w:type="spellEnd"/>
            <w:r>
              <w:t xml:space="preserve"> Telephone Survey Results</w:t>
            </w:r>
          </w:p>
        </w:tc>
      </w:tr>
      <w:tr w:rsidR="003F55A0" w:rsidTr="00DF2036">
        <w:trPr>
          <w:trHeight w:val="415"/>
        </w:trPr>
        <w:tc>
          <w:tcPr>
            <w:tcW w:w="1668" w:type="dxa"/>
            <w:shd w:val="clear" w:color="auto" w:fill="auto"/>
          </w:tcPr>
          <w:p w:rsidR="003F55A0" w:rsidRDefault="003F55A0" w:rsidP="00F40DCD">
            <w:r>
              <w:t xml:space="preserve">Appendix </w:t>
            </w:r>
            <w:r w:rsidR="00F40DCD">
              <w:t>10</w:t>
            </w:r>
          </w:p>
        </w:tc>
        <w:tc>
          <w:tcPr>
            <w:tcW w:w="6378" w:type="dxa"/>
            <w:shd w:val="clear" w:color="auto" w:fill="auto"/>
          </w:tcPr>
          <w:p w:rsidR="003F55A0" w:rsidRDefault="003F55A0" w:rsidP="0031148B">
            <w:r>
              <w:t xml:space="preserve">Copy of Petition (extract only) - </w:t>
            </w:r>
            <w:r w:rsidRPr="008B0EF1">
              <w:rPr>
                <w:b/>
              </w:rPr>
              <w:t>CONFIDENTIAL</w:t>
            </w:r>
          </w:p>
        </w:tc>
      </w:tr>
      <w:tr w:rsidR="003F55A0" w:rsidTr="00DF2036">
        <w:trPr>
          <w:trHeight w:val="422"/>
        </w:trPr>
        <w:tc>
          <w:tcPr>
            <w:tcW w:w="1668" w:type="dxa"/>
            <w:shd w:val="clear" w:color="auto" w:fill="auto"/>
          </w:tcPr>
          <w:p w:rsidR="003F55A0" w:rsidRDefault="003F55A0" w:rsidP="00F40DCD">
            <w:r>
              <w:t xml:space="preserve">Appendix </w:t>
            </w:r>
            <w:r w:rsidR="00F40DCD">
              <w:t>11</w:t>
            </w:r>
          </w:p>
        </w:tc>
        <w:tc>
          <w:tcPr>
            <w:tcW w:w="6378" w:type="dxa"/>
            <w:shd w:val="clear" w:color="auto" w:fill="auto"/>
          </w:tcPr>
          <w:p w:rsidR="003F55A0" w:rsidRDefault="003F55A0" w:rsidP="003E37CA">
            <w:r>
              <w:t>Rates &amp; Charges – General Policy</w:t>
            </w:r>
            <w:r w:rsidR="003E37CA">
              <w:t xml:space="preserve"> (See Note 1 Below)</w:t>
            </w:r>
          </w:p>
        </w:tc>
      </w:tr>
      <w:tr w:rsidR="003F55A0" w:rsidTr="00DF2036">
        <w:trPr>
          <w:trHeight w:val="414"/>
        </w:trPr>
        <w:tc>
          <w:tcPr>
            <w:tcW w:w="1668" w:type="dxa"/>
            <w:shd w:val="clear" w:color="auto" w:fill="auto"/>
          </w:tcPr>
          <w:p w:rsidR="003F55A0" w:rsidRDefault="003F55A0" w:rsidP="00F40DCD">
            <w:r>
              <w:t>Appendix 1</w:t>
            </w:r>
            <w:r w:rsidR="00F40DCD">
              <w:t>2</w:t>
            </w:r>
          </w:p>
        </w:tc>
        <w:tc>
          <w:tcPr>
            <w:tcW w:w="6378" w:type="dxa"/>
            <w:shd w:val="clear" w:color="auto" w:fill="auto"/>
          </w:tcPr>
          <w:p w:rsidR="003F55A0" w:rsidRDefault="003F55A0" w:rsidP="0031148B">
            <w:r>
              <w:t>SRV Information Brochure to all Households</w:t>
            </w:r>
          </w:p>
        </w:tc>
      </w:tr>
      <w:tr w:rsidR="003F55A0" w:rsidTr="00DF2036">
        <w:trPr>
          <w:trHeight w:val="405"/>
        </w:trPr>
        <w:tc>
          <w:tcPr>
            <w:tcW w:w="1668" w:type="dxa"/>
            <w:shd w:val="clear" w:color="auto" w:fill="auto"/>
          </w:tcPr>
          <w:p w:rsidR="003F55A0" w:rsidRDefault="003F55A0" w:rsidP="00F40DCD">
            <w:r>
              <w:t>Appendix 1</w:t>
            </w:r>
            <w:r w:rsidR="00F40DCD">
              <w:t>3</w:t>
            </w:r>
          </w:p>
        </w:tc>
        <w:tc>
          <w:tcPr>
            <w:tcW w:w="6378" w:type="dxa"/>
            <w:shd w:val="clear" w:color="auto" w:fill="auto"/>
          </w:tcPr>
          <w:p w:rsidR="003F55A0" w:rsidRDefault="003F55A0" w:rsidP="0031148B">
            <w:r>
              <w:t>Rates versus Land Values Table</w:t>
            </w:r>
            <w:r w:rsidR="00611526">
              <w:t xml:space="preserve"> </w:t>
            </w:r>
            <w:r w:rsidR="003E37CA">
              <w:t>(See Note 1 Below)</w:t>
            </w:r>
          </w:p>
        </w:tc>
      </w:tr>
      <w:tr w:rsidR="003F55A0" w:rsidTr="00DF2036">
        <w:trPr>
          <w:trHeight w:val="411"/>
        </w:trPr>
        <w:tc>
          <w:tcPr>
            <w:tcW w:w="1668" w:type="dxa"/>
            <w:shd w:val="clear" w:color="auto" w:fill="auto"/>
          </w:tcPr>
          <w:p w:rsidR="003F55A0" w:rsidRDefault="003F55A0" w:rsidP="00F40DCD">
            <w:r>
              <w:t>Appendix 1</w:t>
            </w:r>
            <w:r w:rsidR="00F40DCD">
              <w:t>4</w:t>
            </w:r>
          </w:p>
        </w:tc>
        <w:tc>
          <w:tcPr>
            <w:tcW w:w="6378" w:type="dxa"/>
            <w:shd w:val="clear" w:color="auto" w:fill="auto"/>
          </w:tcPr>
          <w:p w:rsidR="003F55A0" w:rsidRDefault="003F55A0" w:rsidP="0031148B">
            <w:r>
              <w:t xml:space="preserve">Rates Comparison Table </w:t>
            </w:r>
            <w:r w:rsidR="003E37CA">
              <w:t>(See Note 1 Below)</w:t>
            </w:r>
          </w:p>
        </w:tc>
      </w:tr>
      <w:tr w:rsidR="003F55A0" w:rsidTr="00DF2036">
        <w:trPr>
          <w:trHeight w:val="418"/>
        </w:trPr>
        <w:tc>
          <w:tcPr>
            <w:tcW w:w="1668" w:type="dxa"/>
            <w:shd w:val="clear" w:color="auto" w:fill="auto"/>
          </w:tcPr>
          <w:p w:rsidR="003F55A0" w:rsidRDefault="003F55A0" w:rsidP="00F40DCD">
            <w:r>
              <w:t>Appendix 1</w:t>
            </w:r>
            <w:r w:rsidR="00F40DCD">
              <w:t>5</w:t>
            </w:r>
          </w:p>
        </w:tc>
        <w:tc>
          <w:tcPr>
            <w:tcW w:w="6378" w:type="dxa"/>
            <w:shd w:val="clear" w:color="auto" w:fill="auto"/>
          </w:tcPr>
          <w:p w:rsidR="003F55A0" w:rsidRDefault="003F55A0" w:rsidP="0031148B">
            <w:r>
              <w:t>Marrickville Profile ID Information</w:t>
            </w:r>
          </w:p>
        </w:tc>
      </w:tr>
      <w:tr w:rsidR="003F55A0" w:rsidTr="00DF2036">
        <w:trPr>
          <w:trHeight w:val="410"/>
        </w:trPr>
        <w:tc>
          <w:tcPr>
            <w:tcW w:w="1668" w:type="dxa"/>
            <w:shd w:val="clear" w:color="auto" w:fill="auto"/>
          </w:tcPr>
          <w:p w:rsidR="003F55A0" w:rsidRDefault="003F55A0" w:rsidP="00F40DCD">
            <w:r>
              <w:t>Appendix 1</w:t>
            </w:r>
            <w:r w:rsidR="00F40DCD">
              <w:t>6</w:t>
            </w:r>
          </w:p>
        </w:tc>
        <w:tc>
          <w:tcPr>
            <w:tcW w:w="6378" w:type="dxa"/>
            <w:shd w:val="clear" w:color="auto" w:fill="auto"/>
          </w:tcPr>
          <w:p w:rsidR="003F55A0" w:rsidRDefault="003F55A0" w:rsidP="0031148B">
            <w:r>
              <w:t>Debt Recovery Policy</w:t>
            </w:r>
            <w:r w:rsidR="00611526">
              <w:t xml:space="preserve"> </w:t>
            </w:r>
            <w:r w:rsidR="003E37CA">
              <w:t>(See Note 1 below)</w:t>
            </w:r>
          </w:p>
        </w:tc>
      </w:tr>
      <w:tr w:rsidR="003F55A0" w:rsidTr="00DF2036">
        <w:trPr>
          <w:trHeight w:val="415"/>
        </w:trPr>
        <w:tc>
          <w:tcPr>
            <w:tcW w:w="1668" w:type="dxa"/>
            <w:shd w:val="clear" w:color="auto" w:fill="auto"/>
          </w:tcPr>
          <w:p w:rsidR="003F55A0" w:rsidRDefault="003F55A0" w:rsidP="00F40DCD">
            <w:r>
              <w:t>Appendix 1</w:t>
            </w:r>
            <w:r w:rsidR="00F40DCD">
              <w:t>7</w:t>
            </w:r>
          </w:p>
        </w:tc>
        <w:tc>
          <w:tcPr>
            <w:tcW w:w="6378" w:type="dxa"/>
            <w:shd w:val="clear" w:color="auto" w:fill="auto"/>
          </w:tcPr>
          <w:p w:rsidR="003F55A0" w:rsidRDefault="003F55A0" w:rsidP="0031148B">
            <w:r>
              <w:t>Pensioner Policy</w:t>
            </w:r>
            <w:r w:rsidR="00611526">
              <w:t xml:space="preserve"> </w:t>
            </w:r>
            <w:r w:rsidR="003E37CA">
              <w:t>(See Note 1 below)</w:t>
            </w:r>
          </w:p>
        </w:tc>
      </w:tr>
      <w:tr w:rsidR="003F55A0" w:rsidTr="00DF2036">
        <w:trPr>
          <w:trHeight w:val="421"/>
        </w:trPr>
        <w:tc>
          <w:tcPr>
            <w:tcW w:w="1668" w:type="dxa"/>
            <w:shd w:val="clear" w:color="auto" w:fill="auto"/>
          </w:tcPr>
          <w:p w:rsidR="003F55A0" w:rsidRDefault="003F55A0" w:rsidP="00F40DCD">
            <w:r>
              <w:t>Appendix 1</w:t>
            </w:r>
            <w:r w:rsidR="00F40DCD">
              <w:t>8</w:t>
            </w:r>
          </w:p>
        </w:tc>
        <w:tc>
          <w:tcPr>
            <w:tcW w:w="6378" w:type="dxa"/>
            <w:shd w:val="clear" w:color="auto" w:fill="auto"/>
          </w:tcPr>
          <w:p w:rsidR="003F55A0" w:rsidRDefault="003F55A0" w:rsidP="0031148B">
            <w:r>
              <w:t>Financial Hardship Form</w:t>
            </w:r>
          </w:p>
        </w:tc>
      </w:tr>
      <w:tr w:rsidR="003F55A0" w:rsidTr="00DF2036">
        <w:trPr>
          <w:trHeight w:val="413"/>
        </w:trPr>
        <w:tc>
          <w:tcPr>
            <w:tcW w:w="1668" w:type="dxa"/>
            <w:shd w:val="clear" w:color="auto" w:fill="auto"/>
          </w:tcPr>
          <w:p w:rsidR="003F55A0" w:rsidRDefault="003F55A0" w:rsidP="00F40DCD">
            <w:r>
              <w:t>Appendix 1</w:t>
            </w:r>
            <w:r w:rsidR="00F40DCD">
              <w:t>9</w:t>
            </w:r>
          </w:p>
        </w:tc>
        <w:tc>
          <w:tcPr>
            <w:tcW w:w="6378" w:type="dxa"/>
            <w:shd w:val="clear" w:color="auto" w:fill="auto"/>
          </w:tcPr>
          <w:p w:rsidR="003F55A0" w:rsidRDefault="003F55A0" w:rsidP="0031148B">
            <w:r>
              <w:t>Resource Strategy – What is our Annual Shortfall?</w:t>
            </w:r>
            <w:r w:rsidR="003E37CA">
              <w:t xml:space="preserve"> (See Note 2 below)</w:t>
            </w:r>
          </w:p>
        </w:tc>
      </w:tr>
      <w:tr w:rsidR="003F55A0" w:rsidTr="00DF2036">
        <w:trPr>
          <w:trHeight w:val="702"/>
        </w:trPr>
        <w:tc>
          <w:tcPr>
            <w:tcW w:w="1668" w:type="dxa"/>
            <w:shd w:val="clear" w:color="auto" w:fill="auto"/>
          </w:tcPr>
          <w:p w:rsidR="003F55A0" w:rsidRDefault="003F55A0" w:rsidP="00F40DCD">
            <w:r>
              <w:t xml:space="preserve">Appendix </w:t>
            </w:r>
            <w:r w:rsidR="00F40DCD">
              <w:t>20</w:t>
            </w:r>
          </w:p>
        </w:tc>
        <w:tc>
          <w:tcPr>
            <w:tcW w:w="6378" w:type="dxa"/>
            <w:shd w:val="clear" w:color="auto" w:fill="auto"/>
          </w:tcPr>
          <w:p w:rsidR="003F55A0" w:rsidRDefault="003F55A0" w:rsidP="0031148B">
            <w:r>
              <w:t>Report to Council – Infrastructure Asset Renewal – A Case for Deliberative Democracy</w:t>
            </w:r>
            <w:r w:rsidR="003E37CA">
              <w:t xml:space="preserve"> (See Note 2 below)</w:t>
            </w:r>
          </w:p>
        </w:tc>
      </w:tr>
      <w:tr w:rsidR="003F55A0" w:rsidTr="00DF2036">
        <w:trPr>
          <w:trHeight w:val="416"/>
        </w:trPr>
        <w:tc>
          <w:tcPr>
            <w:tcW w:w="1668" w:type="dxa"/>
            <w:shd w:val="clear" w:color="auto" w:fill="auto"/>
          </w:tcPr>
          <w:p w:rsidR="003F55A0" w:rsidRDefault="003F55A0" w:rsidP="00F40DCD">
            <w:r>
              <w:t xml:space="preserve">Appendix </w:t>
            </w:r>
            <w:r w:rsidR="00F40DCD">
              <w:t>21</w:t>
            </w:r>
          </w:p>
        </w:tc>
        <w:tc>
          <w:tcPr>
            <w:tcW w:w="6378" w:type="dxa"/>
            <w:shd w:val="clear" w:color="auto" w:fill="auto"/>
          </w:tcPr>
          <w:p w:rsidR="003F55A0" w:rsidRDefault="003F55A0" w:rsidP="0031148B">
            <w:r>
              <w:t xml:space="preserve">Resolution to </w:t>
            </w:r>
            <w:r w:rsidR="000A38DC">
              <w:t>Apply for a SRV &amp; A</w:t>
            </w:r>
            <w:r>
              <w:t xml:space="preserve">dopt IP&amp;R Documents </w:t>
            </w:r>
          </w:p>
        </w:tc>
      </w:tr>
      <w:tr w:rsidR="003F55A0" w:rsidTr="00DF2036">
        <w:trPr>
          <w:trHeight w:val="421"/>
        </w:trPr>
        <w:tc>
          <w:tcPr>
            <w:tcW w:w="1668" w:type="dxa"/>
            <w:shd w:val="clear" w:color="auto" w:fill="auto"/>
          </w:tcPr>
          <w:p w:rsidR="003F55A0" w:rsidRDefault="003F55A0" w:rsidP="00F40DCD">
            <w:r>
              <w:t>Appendix 2</w:t>
            </w:r>
            <w:r w:rsidR="00F40DCD">
              <w:t>2</w:t>
            </w:r>
            <w:r>
              <w:t xml:space="preserve"> </w:t>
            </w:r>
          </w:p>
        </w:tc>
        <w:tc>
          <w:tcPr>
            <w:tcW w:w="6378" w:type="dxa"/>
            <w:shd w:val="clear" w:color="auto" w:fill="auto"/>
          </w:tcPr>
          <w:p w:rsidR="003F55A0" w:rsidRDefault="003F55A0" w:rsidP="0031148B">
            <w:r>
              <w:t xml:space="preserve">Certification – </w:t>
            </w:r>
            <w:r w:rsidR="00CE7C18">
              <w:t xml:space="preserve">Signed </w:t>
            </w:r>
            <w:r>
              <w:t>Application for a SRV</w:t>
            </w:r>
          </w:p>
        </w:tc>
      </w:tr>
      <w:tr w:rsidR="00717868" w:rsidTr="00DF2036">
        <w:trPr>
          <w:trHeight w:val="413"/>
        </w:trPr>
        <w:tc>
          <w:tcPr>
            <w:tcW w:w="1668" w:type="dxa"/>
            <w:shd w:val="clear" w:color="auto" w:fill="auto"/>
          </w:tcPr>
          <w:p w:rsidR="00717868" w:rsidRDefault="00717868" w:rsidP="00F40DCD">
            <w:r>
              <w:t>Appendix 2</w:t>
            </w:r>
            <w:r w:rsidR="00F40DCD">
              <w:t>3</w:t>
            </w:r>
          </w:p>
        </w:tc>
        <w:tc>
          <w:tcPr>
            <w:tcW w:w="6378" w:type="dxa"/>
            <w:shd w:val="clear" w:color="auto" w:fill="auto"/>
          </w:tcPr>
          <w:p w:rsidR="000A38DC" w:rsidRDefault="000A38DC" w:rsidP="0031148B">
            <w:r>
              <w:t>Past Instruments of Approval</w:t>
            </w:r>
          </w:p>
        </w:tc>
      </w:tr>
      <w:tr w:rsidR="00611526" w:rsidTr="00DF2036">
        <w:trPr>
          <w:trHeight w:val="413"/>
        </w:trPr>
        <w:tc>
          <w:tcPr>
            <w:tcW w:w="1668" w:type="dxa"/>
            <w:shd w:val="clear" w:color="auto" w:fill="auto"/>
          </w:tcPr>
          <w:p w:rsidR="00611526" w:rsidRDefault="00611526" w:rsidP="00F40DCD">
            <w:r>
              <w:t>Appendix 24</w:t>
            </w:r>
          </w:p>
        </w:tc>
        <w:tc>
          <w:tcPr>
            <w:tcW w:w="6378" w:type="dxa"/>
            <w:shd w:val="clear" w:color="auto" w:fill="auto"/>
          </w:tcPr>
          <w:p w:rsidR="00611526" w:rsidRDefault="00611526" w:rsidP="003E37CA">
            <w:r>
              <w:t xml:space="preserve">Miscellaneous Financial Information </w:t>
            </w:r>
          </w:p>
        </w:tc>
      </w:tr>
      <w:tr w:rsidR="00611526" w:rsidTr="00DF2036">
        <w:trPr>
          <w:trHeight w:val="413"/>
        </w:trPr>
        <w:tc>
          <w:tcPr>
            <w:tcW w:w="1668" w:type="dxa"/>
            <w:shd w:val="clear" w:color="auto" w:fill="auto"/>
          </w:tcPr>
          <w:p w:rsidR="00611526" w:rsidRDefault="003E37CA" w:rsidP="00F40DCD">
            <w:r>
              <w:t>Appendix 25</w:t>
            </w:r>
          </w:p>
        </w:tc>
        <w:tc>
          <w:tcPr>
            <w:tcW w:w="6378" w:type="dxa"/>
            <w:shd w:val="clear" w:color="auto" w:fill="auto"/>
          </w:tcPr>
          <w:p w:rsidR="00611526" w:rsidRDefault="00777FAF" w:rsidP="0031148B">
            <w:r>
              <w:t>Infrastructure Asset Renewal Information</w:t>
            </w:r>
          </w:p>
        </w:tc>
      </w:tr>
    </w:tbl>
    <w:p w:rsidR="007D46AE" w:rsidRDefault="003E37CA" w:rsidP="003E37CA">
      <w:pPr>
        <w:pStyle w:val="BodyText"/>
      </w:pPr>
      <w:r>
        <w:t>Note 1 – Appendices 11,</w:t>
      </w:r>
      <w:r w:rsidR="00777FAF">
        <w:t xml:space="preserve"> </w:t>
      </w:r>
      <w:r>
        <w:t>13,</w:t>
      </w:r>
      <w:r w:rsidR="00777FAF">
        <w:t xml:space="preserve"> </w:t>
      </w:r>
      <w:r>
        <w:t>14, 16 &amp; 17 are all contained in Appendix 24</w:t>
      </w:r>
    </w:p>
    <w:p w:rsidR="003E37CA" w:rsidRDefault="003E37CA" w:rsidP="003E37CA">
      <w:pPr>
        <w:pStyle w:val="BodyText"/>
      </w:pPr>
      <w:r>
        <w:t>Note 2 – Appendices 19 &amp; 20 are both contained in Appendix 25</w:t>
      </w:r>
    </w:p>
    <w:p w:rsidR="003E37CA" w:rsidRDefault="003E37CA" w:rsidP="003E37CA">
      <w:pPr>
        <w:pStyle w:val="BodyText"/>
      </w:pPr>
    </w:p>
    <w:p w:rsidR="00D60EA5" w:rsidRPr="00A35E66" w:rsidRDefault="00D60EA5" w:rsidP="006607B9">
      <w:pPr>
        <w:pStyle w:val="Heading1"/>
      </w:pPr>
      <w:bookmarkStart w:id="37" w:name="_Toc401138381"/>
      <w:r w:rsidRPr="00A35E66">
        <w:t>Certification</w:t>
      </w:r>
      <w:bookmarkEnd w:id="37"/>
    </w:p>
    <w:p w:rsidR="005C4769" w:rsidRPr="00A35E66" w:rsidRDefault="005C4769" w:rsidP="005C4769">
      <w:pPr>
        <w:pStyle w:val="BodyText"/>
        <w:rPr>
          <w:b/>
        </w:rPr>
      </w:pPr>
      <w:r w:rsidRPr="00A35E66">
        <w:rPr>
          <w:b/>
        </w:rPr>
        <w:t xml:space="preserve">APPLICATION FOR A SPECIAL RATE VARIATION </w:t>
      </w:r>
    </w:p>
    <w:p w:rsidR="005C4769" w:rsidRPr="00A35E66" w:rsidRDefault="005C4769" w:rsidP="005C4769">
      <w:pPr>
        <w:pStyle w:val="BodyText"/>
        <w:rPr>
          <w:b/>
        </w:rPr>
      </w:pPr>
      <w:r w:rsidRPr="00A35E66">
        <w:rPr>
          <w:b/>
        </w:rPr>
        <w:t>To be completed by General Manager and Responsible Accounting Officer</w:t>
      </w:r>
    </w:p>
    <w:p w:rsidR="005C4769" w:rsidRPr="00A35E66" w:rsidRDefault="005C4769" w:rsidP="005C4769">
      <w:pPr>
        <w:pStyle w:val="BodyText"/>
      </w:pPr>
      <w:r w:rsidRPr="00A35E66">
        <w:t xml:space="preserve">Name of council: </w:t>
      </w:r>
      <w:r w:rsidR="00BF4FB7" w:rsidRPr="00A35E66">
        <w:t>Marrickville Council</w:t>
      </w:r>
    </w:p>
    <w:p w:rsidR="002550E3" w:rsidRPr="00A35E66" w:rsidRDefault="002550E3" w:rsidP="005C4769">
      <w:pPr>
        <w:pStyle w:val="BodyText"/>
      </w:pPr>
    </w:p>
    <w:p w:rsidR="002550E3" w:rsidRPr="00A35E66" w:rsidRDefault="005C4769" w:rsidP="005C4769">
      <w:pPr>
        <w:pStyle w:val="BodyText"/>
      </w:pPr>
      <w:r w:rsidRPr="00A35E66">
        <w:t>We certify that to the best of our knowledge the information provided in this appli</w:t>
      </w:r>
      <w:r w:rsidR="002550E3" w:rsidRPr="00A35E66">
        <w:t>cation is correct and complete.</w:t>
      </w:r>
    </w:p>
    <w:p w:rsidR="005C4769" w:rsidRPr="00A35E66" w:rsidRDefault="005C4769" w:rsidP="005C4769">
      <w:pPr>
        <w:pStyle w:val="BodyText"/>
      </w:pPr>
      <w:r w:rsidRPr="00A35E66">
        <w:t xml:space="preserve">General Manager (name): </w:t>
      </w:r>
      <w:r w:rsidR="00BF4FB7" w:rsidRPr="00A35E66">
        <w:t>Mr Brian Barrett</w:t>
      </w:r>
    </w:p>
    <w:p w:rsidR="005C4769" w:rsidRPr="00A35E66" w:rsidRDefault="005C4769" w:rsidP="005C4769">
      <w:pPr>
        <w:pStyle w:val="BodyText"/>
      </w:pPr>
      <w:r w:rsidRPr="00A35E66">
        <w:t xml:space="preserve">Signature and Date: </w:t>
      </w:r>
    </w:p>
    <w:p w:rsidR="005C4769" w:rsidRPr="00A35E66" w:rsidRDefault="005C4769" w:rsidP="005C4769">
      <w:pPr>
        <w:pStyle w:val="BodyText"/>
      </w:pPr>
      <w:r w:rsidRPr="00A35E66">
        <w:t xml:space="preserve">Responsible Accounting Officer (name): </w:t>
      </w:r>
      <w:r w:rsidR="00BF4FB7" w:rsidRPr="00A35E66">
        <w:t>Mr Steve Kludass</w:t>
      </w:r>
    </w:p>
    <w:p w:rsidR="005C4769" w:rsidRPr="00A35E66" w:rsidRDefault="005C4769" w:rsidP="005C4769">
      <w:pPr>
        <w:pStyle w:val="BodyText"/>
      </w:pPr>
      <w:r w:rsidRPr="00A35E66">
        <w:t xml:space="preserve">Signature and Date: </w:t>
      </w:r>
    </w:p>
    <w:p w:rsidR="002550E3" w:rsidRPr="00A35E66" w:rsidRDefault="002550E3" w:rsidP="005C4769">
      <w:pPr>
        <w:pStyle w:val="BodyText"/>
      </w:pPr>
    </w:p>
    <w:p w:rsidR="005C4769" w:rsidRPr="00A35E66" w:rsidRDefault="005C4769" w:rsidP="005C4769">
      <w:pPr>
        <w:pStyle w:val="BodyText"/>
      </w:pPr>
      <w:r w:rsidRPr="00A35E66">
        <w:t xml:space="preserve">Once completed, </w:t>
      </w:r>
      <w:r w:rsidR="00303275" w:rsidRPr="00A35E66">
        <w:t xml:space="preserve">please </w:t>
      </w:r>
      <w:r w:rsidRPr="00A35E66">
        <w:t xml:space="preserve">scan the signed certification and attach it as a public supporting document online via the Council Portal on </w:t>
      </w:r>
      <w:r w:rsidR="00B417F9" w:rsidRPr="00A35E66">
        <w:t>IPART’s</w:t>
      </w:r>
      <w:r w:rsidRPr="00A35E66">
        <w:t xml:space="preserve"> website.</w:t>
      </w:r>
    </w:p>
    <w:p w:rsidR="00D60EA5" w:rsidRPr="00A35E66" w:rsidRDefault="00D60EA5" w:rsidP="000F359C">
      <w:pPr>
        <w:pStyle w:val="BodyText"/>
      </w:pPr>
    </w:p>
    <w:p w:rsidR="000F359C" w:rsidRPr="00A35E66" w:rsidRDefault="000F359C" w:rsidP="00562CD3">
      <w:pPr>
        <w:pStyle w:val="BodyText"/>
      </w:pPr>
    </w:p>
    <w:sectPr w:rsidR="000F359C" w:rsidRPr="00A35E66" w:rsidSect="005C4769">
      <w:headerReference w:type="even" r:id="rId23"/>
      <w:headerReference w:type="default" r:id="rId24"/>
      <w:footerReference w:type="even" r:id="rId25"/>
      <w:footerReference w:type="default" r:id="rId26"/>
      <w:pgSz w:w="11907" w:h="16840" w:code="9"/>
      <w:pgMar w:top="2268" w:right="1701" w:bottom="1418" w:left="1701" w:header="1134" w:footer="284" w:gutter="567"/>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7CA" w:rsidRDefault="003E37CA" w:rsidP="00856DDC">
      <w:r>
        <w:separator/>
      </w:r>
    </w:p>
    <w:p w:rsidR="003E37CA" w:rsidRDefault="003E37CA"/>
  </w:endnote>
  <w:endnote w:type="continuationSeparator" w:id="0">
    <w:p w:rsidR="003E37CA" w:rsidRDefault="003E37CA" w:rsidP="00856DDC">
      <w:r>
        <w:continuationSeparator/>
      </w:r>
    </w:p>
    <w:p w:rsidR="003E37CA" w:rsidRDefault="003E37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67"/>
      <w:gridCol w:w="142"/>
      <w:gridCol w:w="142"/>
      <w:gridCol w:w="7938"/>
    </w:tblGrid>
    <w:tr w:rsidR="003E37CA">
      <w:trPr>
        <w:cantSplit/>
      </w:trPr>
      <w:tc>
        <w:tcPr>
          <w:tcW w:w="567" w:type="dxa"/>
          <w:vAlign w:val="bottom"/>
        </w:tcPr>
        <w:p w:rsidR="003E37CA" w:rsidRDefault="003E37CA"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tc>
      <w:tc>
        <w:tcPr>
          <w:tcW w:w="142" w:type="dxa"/>
          <w:tcBorders>
            <w:right w:val="single" w:sz="8" w:space="0" w:color="7C7C7C"/>
          </w:tcBorders>
          <w:vAlign w:val="bottom"/>
        </w:tcPr>
        <w:p w:rsidR="003E37CA" w:rsidRDefault="003E37CA" w:rsidP="00321AF3">
          <w:pPr>
            <w:pStyle w:val="Footer"/>
          </w:pPr>
        </w:p>
      </w:tc>
      <w:tc>
        <w:tcPr>
          <w:tcW w:w="142" w:type="dxa"/>
          <w:tcBorders>
            <w:left w:val="single" w:sz="8" w:space="0" w:color="7C7C7C"/>
          </w:tcBorders>
          <w:vAlign w:val="bottom"/>
        </w:tcPr>
        <w:p w:rsidR="003E37CA" w:rsidRDefault="003E37CA" w:rsidP="00321AF3">
          <w:pPr>
            <w:pStyle w:val="Footer"/>
          </w:pPr>
        </w:p>
      </w:tc>
      <w:tc>
        <w:tcPr>
          <w:tcW w:w="7938" w:type="dxa"/>
          <w:vAlign w:val="bottom"/>
        </w:tcPr>
        <w:p w:rsidR="003E37CA" w:rsidRDefault="003E37CA" w:rsidP="00321AF3">
          <w:pPr>
            <w:pStyle w:val="Footer"/>
          </w:pPr>
          <w:r w:rsidRPr="00D661A7">
            <w:rPr>
              <w:b/>
            </w:rPr>
            <w:t>IPART</w:t>
          </w:r>
          <w:r w:rsidRPr="00CF179E">
            <w:rPr>
              <w:rFonts w:eastAsia="Arial Unicode MS" w:hAnsi="Arial Unicode MS" w:cs="Arial"/>
            </w:rPr>
            <w:t> </w:t>
          </w:r>
          <w:fldSimple w:instr=" STYLEREF  Title ">
            <w:r>
              <w:rPr>
                <w:noProof/>
              </w:rPr>
              <w:t>Special Variation Application Form – Part B</w:t>
            </w:r>
          </w:fldSimple>
        </w:p>
      </w:tc>
    </w:tr>
  </w:tbl>
  <w:p w:rsidR="003E37CA" w:rsidRPr="00D661A7" w:rsidRDefault="003E3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938"/>
      <w:gridCol w:w="142"/>
      <w:gridCol w:w="142"/>
      <w:gridCol w:w="567"/>
    </w:tblGrid>
    <w:tr w:rsidR="003E37CA">
      <w:trPr>
        <w:cantSplit/>
      </w:trPr>
      <w:tc>
        <w:tcPr>
          <w:tcW w:w="7938" w:type="dxa"/>
          <w:vAlign w:val="bottom"/>
        </w:tcPr>
        <w:p w:rsidR="003E37CA" w:rsidRDefault="003E37CA" w:rsidP="00321AF3">
          <w:pPr>
            <w:pStyle w:val="Footer"/>
            <w:jc w:val="right"/>
          </w:pPr>
          <w:fldSimple w:instr=" STYLEREF  Title ">
            <w:r>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3E37CA" w:rsidRDefault="003E37CA" w:rsidP="00321AF3">
          <w:pPr>
            <w:pStyle w:val="Footer"/>
          </w:pPr>
        </w:p>
      </w:tc>
      <w:tc>
        <w:tcPr>
          <w:tcW w:w="142" w:type="dxa"/>
          <w:tcBorders>
            <w:left w:val="single" w:sz="8" w:space="0" w:color="7C7C7C"/>
          </w:tcBorders>
          <w:vAlign w:val="bottom"/>
        </w:tcPr>
        <w:p w:rsidR="003E37CA" w:rsidRDefault="003E37CA" w:rsidP="00321AF3">
          <w:pPr>
            <w:pStyle w:val="Footer"/>
          </w:pPr>
        </w:p>
      </w:tc>
      <w:tc>
        <w:tcPr>
          <w:tcW w:w="567" w:type="dxa"/>
          <w:vAlign w:val="bottom"/>
        </w:tcPr>
        <w:p w:rsidR="003E37CA" w:rsidRDefault="003E37CA" w:rsidP="00321A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tc>
    </w:tr>
  </w:tbl>
  <w:p w:rsidR="003E37CA" w:rsidRPr="00BB2D33" w:rsidRDefault="003E3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CA" w:rsidRPr="002231EC" w:rsidRDefault="003E37C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67"/>
      <w:gridCol w:w="142"/>
      <w:gridCol w:w="142"/>
      <w:gridCol w:w="7938"/>
    </w:tblGrid>
    <w:tr w:rsidR="003E37CA">
      <w:trPr>
        <w:cantSplit/>
      </w:trPr>
      <w:tc>
        <w:tcPr>
          <w:tcW w:w="567" w:type="dxa"/>
          <w:vAlign w:val="bottom"/>
        </w:tcPr>
        <w:p w:rsidR="003E37CA" w:rsidRDefault="003E37CA"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777FAF">
            <w:rPr>
              <w:rStyle w:val="PageNumber"/>
              <w:noProof/>
            </w:rPr>
            <w:t>30</w:t>
          </w:r>
          <w:r>
            <w:rPr>
              <w:rStyle w:val="PageNumber"/>
            </w:rPr>
            <w:fldChar w:fldCharType="end"/>
          </w:r>
        </w:p>
      </w:tc>
      <w:tc>
        <w:tcPr>
          <w:tcW w:w="142" w:type="dxa"/>
          <w:tcBorders>
            <w:right w:val="single" w:sz="8" w:space="0" w:color="7C7C7C"/>
          </w:tcBorders>
          <w:vAlign w:val="bottom"/>
        </w:tcPr>
        <w:p w:rsidR="003E37CA" w:rsidRDefault="003E37CA" w:rsidP="00BB7D2D">
          <w:pPr>
            <w:pStyle w:val="Footer"/>
          </w:pPr>
        </w:p>
      </w:tc>
      <w:tc>
        <w:tcPr>
          <w:tcW w:w="142" w:type="dxa"/>
          <w:tcBorders>
            <w:left w:val="single" w:sz="8" w:space="0" w:color="7C7C7C"/>
          </w:tcBorders>
          <w:vAlign w:val="bottom"/>
        </w:tcPr>
        <w:p w:rsidR="003E37CA" w:rsidRDefault="003E37CA" w:rsidP="00BB7D2D">
          <w:pPr>
            <w:pStyle w:val="Footer"/>
          </w:pPr>
        </w:p>
      </w:tc>
      <w:tc>
        <w:tcPr>
          <w:tcW w:w="7938" w:type="dxa"/>
          <w:vAlign w:val="bottom"/>
        </w:tcPr>
        <w:p w:rsidR="003E37CA" w:rsidRDefault="003E37CA" w:rsidP="00BB7D2D">
          <w:pPr>
            <w:pStyle w:val="Footer"/>
          </w:pPr>
          <w:r w:rsidRPr="00D661A7">
            <w:rPr>
              <w:b/>
            </w:rPr>
            <w:t>IPART</w:t>
          </w:r>
          <w:r w:rsidRPr="00CF179E">
            <w:rPr>
              <w:rFonts w:eastAsia="Arial Unicode MS" w:hAnsi="Arial Unicode MS" w:cs="Arial"/>
            </w:rPr>
            <w:t> </w:t>
          </w:r>
          <w:fldSimple w:instr=" STYLEREF  Title ">
            <w:r w:rsidR="00777FAF">
              <w:rPr>
                <w:noProof/>
              </w:rPr>
              <w:t>Special Variation Application Form – Part B</w:t>
            </w:r>
          </w:fldSimple>
        </w:p>
      </w:tc>
    </w:tr>
  </w:tbl>
  <w:p w:rsidR="003E37CA" w:rsidRDefault="003E37CA" w:rsidP="00D174F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938"/>
      <w:gridCol w:w="142"/>
      <w:gridCol w:w="142"/>
      <w:gridCol w:w="567"/>
    </w:tblGrid>
    <w:tr w:rsidR="003E37CA">
      <w:trPr>
        <w:cantSplit/>
      </w:trPr>
      <w:tc>
        <w:tcPr>
          <w:tcW w:w="7938" w:type="dxa"/>
          <w:vAlign w:val="bottom"/>
        </w:tcPr>
        <w:p w:rsidR="003E37CA" w:rsidRDefault="003E37CA" w:rsidP="00BB7D2D">
          <w:pPr>
            <w:pStyle w:val="Footer"/>
            <w:jc w:val="right"/>
          </w:pPr>
          <w:fldSimple w:instr=" STYLEREF  Title ">
            <w:r w:rsidR="00777FAF">
              <w:rPr>
                <w:noProof/>
              </w:rPr>
              <w:t>Special Variation Application Form – Part B</w:t>
            </w:r>
          </w:fldSimple>
          <w:bookmarkStart w:id="38" w:name="_Toc175058581"/>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3E37CA" w:rsidRDefault="003E37CA" w:rsidP="00BB7D2D">
          <w:pPr>
            <w:pStyle w:val="Footer"/>
          </w:pPr>
        </w:p>
      </w:tc>
      <w:tc>
        <w:tcPr>
          <w:tcW w:w="142" w:type="dxa"/>
          <w:tcBorders>
            <w:left w:val="single" w:sz="8" w:space="0" w:color="7C7C7C"/>
          </w:tcBorders>
          <w:vAlign w:val="bottom"/>
        </w:tcPr>
        <w:p w:rsidR="003E37CA" w:rsidRDefault="003E37CA" w:rsidP="00BB7D2D">
          <w:pPr>
            <w:pStyle w:val="Footer"/>
          </w:pPr>
        </w:p>
      </w:tc>
      <w:tc>
        <w:tcPr>
          <w:tcW w:w="567" w:type="dxa"/>
          <w:vAlign w:val="bottom"/>
        </w:tcPr>
        <w:p w:rsidR="003E37CA" w:rsidRDefault="003E37CA" w:rsidP="00BB7D2D">
          <w:pPr>
            <w:pStyle w:val="Footer"/>
          </w:pPr>
          <w:r>
            <w:rPr>
              <w:rStyle w:val="PageNumber"/>
            </w:rPr>
            <w:fldChar w:fldCharType="begin"/>
          </w:r>
          <w:r>
            <w:rPr>
              <w:rStyle w:val="PageNumber"/>
            </w:rPr>
            <w:instrText xml:space="preserve"> PAGE </w:instrText>
          </w:r>
          <w:r>
            <w:rPr>
              <w:rStyle w:val="PageNumber"/>
            </w:rPr>
            <w:fldChar w:fldCharType="separate"/>
          </w:r>
          <w:r w:rsidR="00777FAF">
            <w:rPr>
              <w:rStyle w:val="PageNumber"/>
              <w:noProof/>
            </w:rPr>
            <w:t>31</w:t>
          </w:r>
          <w:r>
            <w:rPr>
              <w:rStyle w:val="PageNumber"/>
            </w:rPr>
            <w:fldChar w:fldCharType="end"/>
          </w:r>
        </w:p>
      </w:tc>
    </w:tr>
    <w:bookmarkEnd w:id="38"/>
  </w:tbl>
  <w:p w:rsidR="003E37CA" w:rsidRDefault="003E37CA" w:rsidP="00916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7CA" w:rsidRDefault="003E37CA" w:rsidP="00856DDC">
      <w:r>
        <w:separator/>
      </w:r>
    </w:p>
  </w:footnote>
  <w:footnote w:type="continuationSeparator" w:id="0">
    <w:p w:rsidR="003E37CA" w:rsidRDefault="003E37CA" w:rsidP="00856DDC">
      <w:r>
        <w:continuationSeparator/>
      </w:r>
    </w:p>
    <w:p w:rsidR="003E37CA" w:rsidRDefault="003E37CA"/>
  </w:footnote>
  <w:footnote w:id="1">
    <w:p w:rsidR="003E37CA" w:rsidRPr="00952245" w:rsidRDefault="003E37CA"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3E37CA" w:rsidRPr="00952245" w:rsidRDefault="003E37CA"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3E37CA" w:rsidRPr="00452CBD" w:rsidRDefault="003E37CA"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3E37CA" w:rsidRPr="0035428F" w:rsidRDefault="003E37CA"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3E37CA" w:rsidRPr="00CA35DF" w:rsidRDefault="003E37CA" w:rsidP="001F1E22">
      <w:pPr>
        <w:pStyle w:val="FootnoteText"/>
        <w:rPr>
          <w:lang w:val="en-US"/>
        </w:rPr>
      </w:pPr>
      <w:r>
        <w:rPr>
          <w:rStyle w:val="FootnoteReference"/>
        </w:rPr>
        <w:footnoteRef/>
      </w:r>
      <w:r>
        <w:t xml:space="preserve"> </w:t>
      </w:r>
      <w:r>
        <w:rPr>
          <w:lang w:val="en-US"/>
        </w:rPr>
        <w:tab/>
        <w:t xml:space="preserve">Relevant documents are the Community Strategic Plan, Delivery Program, </w:t>
      </w:r>
      <w:proofErr w:type="gramStart"/>
      <w:r>
        <w:rPr>
          <w:lang w:val="en-US"/>
        </w:rPr>
        <w:t>Long</w:t>
      </w:r>
      <w:proofErr w:type="gramEnd"/>
      <w:r>
        <w:rPr>
          <w:lang w:val="en-US"/>
        </w:rPr>
        <w:t xml:space="preserve"> Term Financial Plan and where applicable, the Asset Management Plan.</w:t>
      </w:r>
    </w:p>
  </w:footnote>
  <w:footnote w:id="6">
    <w:p w:rsidR="003E37CA" w:rsidRPr="00AF2242" w:rsidRDefault="003E37CA">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 then Division of Local Government), </w:t>
      </w:r>
      <w:r w:rsidRPr="00856578">
        <w:rPr>
          <w:i/>
          <w:lang w:val="en-US"/>
        </w:rPr>
        <w:t>Integrated Planning and Reporting Manual for local government in NSW</w:t>
      </w:r>
      <w:r w:rsidRPr="00856578">
        <w:rPr>
          <w:lang w:val="en-US"/>
        </w:rPr>
        <w:t>, March 2013, pp 5 - 6.</w:t>
      </w:r>
      <w:proofErr w:type="gramEnd"/>
      <w:r w:rsidRPr="00856578">
        <w:rPr>
          <w:lang w:val="en-US"/>
        </w:rPr>
        <w:t xml:space="preserve"> See http://www.olg.nsw.gov.au/sites/default/files/Intergrated-Planning-and-Reporting-Manual-March-2013.pdf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CA" w:rsidRDefault="003E37CA" w:rsidP="00667EA7">
    <w:pPr>
      <w:pStyle w:val="Header"/>
      <w:jc w:val="right"/>
    </w:pPr>
    <w:r>
      <w:rPr>
        <w:noProof/>
      </w:rPr>
      <w:drawing>
        <wp:anchor distT="0" distB="0" distL="114300" distR="114300" simplePos="0" relativeHeight="251666432" behindDoc="1" locked="0" layoutInCell="0" allowOverlap="0">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CA" w:rsidRDefault="003E37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CA" w:rsidRPr="00BB2D33" w:rsidRDefault="003E37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CA" w:rsidRPr="0026621F" w:rsidRDefault="003E37CA" w:rsidP="005E2D3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CA" w:rsidRPr="0026621F" w:rsidRDefault="003E37CA" w:rsidP="005E2D3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CA" w:rsidRPr="00083981" w:rsidRDefault="003E37C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CA" w:rsidRDefault="003E37CA">
    <w:pPr>
      <w:pStyle w:val="Header"/>
    </w:pPr>
    <w:r>
      <w:rPr>
        <w:noProof/>
      </w:rPr>
      <w:pict>
        <v:shapetype id="_x0000_t202" coordsize="21600,21600" o:spt="202" path="m,l,21600r21600,l21600,xe">
          <v:stroke joinstyle="miter"/>
          <v:path gradientshapeok="t" o:connecttype="rect"/>
        </v:shapetype>
        <v:shape id="Text Box 1003" o:spid="_x0000_s95234"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3E37CA" w:rsidRDefault="003E37CA"/>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CA" w:rsidRPr="004401AD" w:rsidRDefault="003E37CA">
    <w:pPr>
      <w:pStyle w:val="Header"/>
      <w:rPr>
        <w:lang w:val="en-US"/>
      </w:rPr>
    </w:pPr>
    <w:r>
      <w:rPr>
        <w:noProof/>
      </w:rPr>
      <w:pict>
        <v:shapetype id="_x0000_t202" coordsize="21600,21600" o:spt="202" path="m,l,21600r21600,l21600,xe">
          <v:stroke joinstyle="miter"/>
          <v:path gradientshapeok="t" o:connecttype="rect"/>
        </v:shapetype>
        <v:shape id="Text Box 1007" o:spid="_x0000_s95233"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3E37CA" w:rsidRDefault="003E37C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836B2"/>
    <w:multiLevelType w:val="hybridMultilevel"/>
    <w:tmpl w:val="7A32447A"/>
    <w:lvl w:ilvl="0" w:tplc="0C090001">
      <w:start w:val="2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7">
    <w:nsid w:val="1A7A025E"/>
    <w:multiLevelType w:val="hybridMultilevel"/>
    <w:tmpl w:val="7F9E3472"/>
    <w:lvl w:ilvl="0" w:tplc="0C090001">
      <w:start w:val="2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9">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0">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E1E65DE"/>
    <w:multiLevelType w:val="hybridMultilevel"/>
    <w:tmpl w:val="B1581996"/>
    <w:lvl w:ilvl="0" w:tplc="4DB0F2F8">
      <w:start w:val="22"/>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4">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15">
    <w:nsid w:val="3C6001F9"/>
    <w:multiLevelType w:val="hybridMultilevel"/>
    <w:tmpl w:val="B60EE5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17">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18">
    <w:nsid w:val="54854747"/>
    <w:multiLevelType w:val="hybridMultilevel"/>
    <w:tmpl w:val="CBC4B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21">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22">
    <w:nsid w:val="5EDF5A1F"/>
    <w:multiLevelType w:val="hybridMultilevel"/>
    <w:tmpl w:val="5AC22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24">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5">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26">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27">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29">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0">
    <w:nsid w:val="72864698"/>
    <w:multiLevelType w:val="hybridMultilevel"/>
    <w:tmpl w:val="CF3A8044"/>
    <w:lvl w:ilvl="0" w:tplc="0C090001">
      <w:start w:val="2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32">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num w:numId="1">
    <w:abstractNumId w:val="24"/>
  </w:num>
  <w:num w:numId="2">
    <w:abstractNumId w:val="8"/>
  </w:num>
  <w:num w:numId="3">
    <w:abstractNumId w:val="31"/>
  </w:num>
  <w:num w:numId="4">
    <w:abstractNumId w:val="13"/>
  </w:num>
  <w:num w:numId="5">
    <w:abstractNumId w:val="20"/>
  </w:num>
  <w:num w:numId="6">
    <w:abstractNumId w:val="21"/>
  </w:num>
  <w:num w:numId="7">
    <w:abstractNumId w:val="17"/>
  </w:num>
  <w:num w:numId="8">
    <w:abstractNumId w:val="4"/>
  </w:num>
  <w:num w:numId="9">
    <w:abstractNumId w:val="0"/>
  </w:num>
  <w:num w:numId="10">
    <w:abstractNumId w:val="5"/>
  </w:num>
  <w:num w:numId="11">
    <w:abstractNumId w:val="14"/>
  </w:num>
  <w:num w:numId="12">
    <w:abstractNumId w:val="25"/>
  </w:num>
  <w:num w:numId="13">
    <w:abstractNumId w:val="10"/>
  </w:num>
  <w:num w:numId="14">
    <w:abstractNumId w:val="29"/>
  </w:num>
  <w:num w:numId="15">
    <w:abstractNumId w:val="19"/>
  </w:num>
  <w:num w:numId="16">
    <w:abstractNumId w:val="26"/>
  </w:num>
  <w:num w:numId="17">
    <w:abstractNumId w:val="28"/>
  </w:num>
  <w:num w:numId="18">
    <w:abstractNumId w:val="23"/>
  </w:num>
  <w:num w:numId="19">
    <w:abstractNumId w:val="16"/>
  </w:num>
  <w:num w:numId="20">
    <w:abstractNumId w:val="9"/>
  </w:num>
  <w:num w:numId="21">
    <w:abstractNumId w:val="2"/>
  </w:num>
  <w:num w:numId="22">
    <w:abstractNumId w:val="32"/>
  </w:num>
  <w:num w:numId="23">
    <w:abstractNumId w:val="12"/>
  </w:num>
  <w:num w:numId="24">
    <w:abstractNumId w:val="27"/>
  </w:num>
  <w:num w:numId="25">
    <w:abstractNumId w:val="1"/>
  </w:num>
  <w:num w:numId="26">
    <w:abstractNumId w:val="6"/>
  </w:num>
  <w:num w:numId="27">
    <w:abstractNumId w:val="22"/>
  </w:num>
  <w:num w:numId="28">
    <w:abstractNumId w:val="15"/>
  </w:num>
  <w:num w:numId="29">
    <w:abstractNumId w:val="18"/>
  </w:num>
  <w:num w:numId="30">
    <w:abstractNumId w:val="3"/>
  </w:num>
  <w:num w:numId="31">
    <w:abstractNumId w:val="11"/>
  </w:num>
  <w:num w:numId="32">
    <w:abstractNumId w:val="30"/>
  </w:num>
  <w:num w:numId="33">
    <w:abstractNumId w:val="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95237">
      <o:colormru v:ext="edit" colors="#001c52,#b6c400,#dc0000,maroon,#6cb07e,#2c90ce,#eed084,#ccf"/>
    </o:shapedefaults>
    <o:shapelayout v:ext="edit">
      <o:idmap v:ext="edit" data="93"/>
    </o:shapelayout>
  </w:hdrShapeDefaults>
  <w:footnotePr>
    <w:footnote w:id="-1"/>
    <w:footnote w:id="0"/>
  </w:footnotePr>
  <w:endnotePr>
    <w:endnote w:id="-1"/>
    <w:endnote w:id="0"/>
  </w:endnotePr>
  <w:compat/>
  <w:docVars>
    <w:docVar w:name="DMReference" w:val=" "/>
    <w:docVar w:name="OfficeIni" w:val="Melbourne.ini"/>
  </w:docVars>
  <w:rsids>
    <w:rsidRoot w:val="000F359C"/>
    <w:rsid w:val="00000125"/>
    <w:rsid w:val="00002BF5"/>
    <w:rsid w:val="00005641"/>
    <w:rsid w:val="00006FE5"/>
    <w:rsid w:val="00007AFB"/>
    <w:rsid w:val="00010DFB"/>
    <w:rsid w:val="000111B5"/>
    <w:rsid w:val="00012D17"/>
    <w:rsid w:val="00012DAC"/>
    <w:rsid w:val="00013389"/>
    <w:rsid w:val="000137B0"/>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40067"/>
    <w:rsid w:val="00040713"/>
    <w:rsid w:val="00040D73"/>
    <w:rsid w:val="00040E7E"/>
    <w:rsid w:val="00040E83"/>
    <w:rsid w:val="0004182E"/>
    <w:rsid w:val="000421AD"/>
    <w:rsid w:val="0004319E"/>
    <w:rsid w:val="00043470"/>
    <w:rsid w:val="00043964"/>
    <w:rsid w:val="00043C44"/>
    <w:rsid w:val="0004459E"/>
    <w:rsid w:val="0004466D"/>
    <w:rsid w:val="000449C2"/>
    <w:rsid w:val="00044A5D"/>
    <w:rsid w:val="00044D9D"/>
    <w:rsid w:val="00045034"/>
    <w:rsid w:val="00045368"/>
    <w:rsid w:val="00045940"/>
    <w:rsid w:val="00045E55"/>
    <w:rsid w:val="0004651B"/>
    <w:rsid w:val="00050693"/>
    <w:rsid w:val="00050AED"/>
    <w:rsid w:val="00050D51"/>
    <w:rsid w:val="0005255C"/>
    <w:rsid w:val="00052573"/>
    <w:rsid w:val="00052705"/>
    <w:rsid w:val="00052E3D"/>
    <w:rsid w:val="0005432C"/>
    <w:rsid w:val="000545B7"/>
    <w:rsid w:val="00054E84"/>
    <w:rsid w:val="00056E9F"/>
    <w:rsid w:val="0005753A"/>
    <w:rsid w:val="00061640"/>
    <w:rsid w:val="00062F94"/>
    <w:rsid w:val="00063B90"/>
    <w:rsid w:val="000655A8"/>
    <w:rsid w:val="00065DBF"/>
    <w:rsid w:val="000663B9"/>
    <w:rsid w:val="00066802"/>
    <w:rsid w:val="00067EDB"/>
    <w:rsid w:val="000705CD"/>
    <w:rsid w:val="000705E4"/>
    <w:rsid w:val="00070F98"/>
    <w:rsid w:val="00072225"/>
    <w:rsid w:val="000724CE"/>
    <w:rsid w:val="000726AD"/>
    <w:rsid w:val="00074732"/>
    <w:rsid w:val="00074FF3"/>
    <w:rsid w:val="0007545C"/>
    <w:rsid w:val="000754C4"/>
    <w:rsid w:val="00075FAE"/>
    <w:rsid w:val="00077F81"/>
    <w:rsid w:val="00080C0C"/>
    <w:rsid w:val="00080FAA"/>
    <w:rsid w:val="00081F7D"/>
    <w:rsid w:val="00082B7D"/>
    <w:rsid w:val="000837B1"/>
    <w:rsid w:val="00083981"/>
    <w:rsid w:val="00083DFB"/>
    <w:rsid w:val="00084C17"/>
    <w:rsid w:val="00084C27"/>
    <w:rsid w:val="0008607A"/>
    <w:rsid w:val="00087085"/>
    <w:rsid w:val="0008771E"/>
    <w:rsid w:val="00087B22"/>
    <w:rsid w:val="00087EAC"/>
    <w:rsid w:val="000900DD"/>
    <w:rsid w:val="00091B6D"/>
    <w:rsid w:val="00091E17"/>
    <w:rsid w:val="00092202"/>
    <w:rsid w:val="000923B0"/>
    <w:rsid w:val="00092865"/>
    <w:rsid w:val="00094297"/>
    <w:rsid w:val="00095136"/>
    <w:rsid w:val="000959F9"/>
    <w:rsid w:val="00095AEE"/>
    <w:rsid w:val="00096059"/>
    <w:rsid w:val="0009614B"/>
    <w:rsid w:val="00096446"/>
    <w:rsid w:val="00097BA8"/>
    <w:rsid w:val="000A098A"/>
    <w:rsid w:val="000A0ADB"/>
    <w:rsid w:val="000A15B4"/>
    <w:rsid w:val="000A1AA3"/>
    <w:rsid w:val="000A2F8A"/>
    <w:rsid w:val="000A36BB"/>
    <w:rsid w:val="000A38DC"/>
    <w:rsid w:val="000A58C7"/>
    <w:rsid w:val="000A6066"/>
    <w:rsid w:val="000A61BC"/>
    <w:rsid w:val="000A7044"/>
    <w:rsid w:val="000A75CF"/>
    <w:rsid w:val="000B0371"/>
    <w:rsid w:val="000B09AD"/>
    <w:rsid w:val="000B2645"/>
    <w:rsid w:val="000B3B42"/>
    <w:rsid w:val="000B42C6"/>
    <w:rsid w:val="000B625B"/>
    <w:rsid w:val="000B7275"/>
    <w:rsid w:val="000C0040"/>
    <w:rsid w:val="000C149B"/>
    <w:rsid w:val="000C160F"/>
    <w:rsid w:val="000C173E"/>
    <w:rsid w:val="000C253D"/>
    <w:rsid w:val="000C2CFB"/>
    <w:rsid w:val="000C5003"/>
    <w:rsid w:val="000C5088"/>
    <w:rsid w:val="000C56D8"/>
    <w:rsid w:val="000C5A0A"/>
    <w:rsid w:val="000C5A28"/>
    <w:rsid w:val="000C5C5D"/>
    <w:rsid w:val="000C61B6"/>
    <w:rsid w:val="000C6947"/>
    <w:rsid w:val="000C6A86"/>
    <w:rsid w:val="000C6B85"/>
    <w:rsid w:val="000C6E1E"/>
    <w:rsid w:val="000C742E"/>
    <w:rsid w:val="000C764F"/>
    <w:rsid w:val="000D0F58"/>
    <w:rsid w:val="000D1A92"/>
    <w:rsid w:val="000D1CDA"/>
    <w:rsid w:val="000D3037"/>
    <w:rsid w:val="000D3119"/>
    <w:rsid w:val="000D36F7"/>
    <w:rsid w:val="000D4393"/>
    <w:rsid w:val="000D43A0"/>
    <w:rsid w:val="000D4437"/>
    <w:rsid w:val="000D7EAF"/>
    <w:rsid w:val="000E0537"/>
    <w:rsid w:val="000E20ED"/>
    <w:rsid w:val="000E235A"/>
    <w:rsid w:val="000E239A"/>
    <w:rsid w:val="000E2B50"/>
    <w:rsid w:val="000E2D53"/>
    <w:rsid w:val="000E3170"/>
    <w:rsid w:val="000E3415"/>
    <w:rsid w:val="000E41D5"/>
    <w:rsid w:val="000E41E8"/>
    <w:rsid w:val="000E4F4A"/>
    <w:rsid w:val="000E54FD"/>
    <w:rsid w:val="000E574E"/>
    <w:rsid w:val="000E58D5"/>
    <w:rsid w:val="000F0620"/>
    <w:rsid w:val="000F1C3C"/>
    <w:rsid w:val="000F1CB2"/>
    <w:rsid w:val="000F33B8"/>
    <w:rsid w:val="000F359C"/>
    <w:rsid w:val="000F434F"/>
    <w:rsid w:val="000F6371"/>
    <w:rsid w:val="000F6734"/>
    <w:rsid w:val="000F6D9F"/>
    <w:rsid w:val="000F7B56"/>
    <w:rsid w:val="000F7E79"/>
    <w:rsid w:val="00102095"/>
    <w:rsid w:val="001022D7"/>
    <w:rsid w:val="00102ED1"/>
    <w:rsid w:val="0010395A"/>
    <w:rsid w:val="00103BDC"/>
    <w:rsid w:val="00103C41"/>
    <w:rsid w:val="001040E8"/>
    <w:rsid w:val="00104FFB"/>
    <w:rsid w:val="00105263"/>
    <w:rsid w:val="0010773E"/>
    <w:rsid w:val="00107A47"/>
    <w:rsid w:val="00107F6F"/>
    <w:rsid w:val="00110998"/>
    <w:rsid w:val="001112A9"/>
    <w:rsid w:val="00111CE6"/>
    <w:rsid w:val="0011235F"/>
    <w:rsid w:val="00112435"/>
    <w:rsid w:val="00112F1D"/>
    <w:rsid w:val="001136B7"/>
    <w:rsid w:val="00113C3F"/>
    <w:rsid w:val="0012034E"/>
    <w:rsid w:val="00120768"/>
    <w:rsid w:val="00120B80"/>
    <w:rsid w:val="001217D5"/>
    <w:rsid w:val="00121814"/>
    <w:rsid w:val="00121B7B"/>
    <w:rsid w:val="001227FE"/>
    <w:rsid w:val="00122DB2"/>
    <w:rsid w:val="00123634"/>
    <w:rsid w:val="0012373D"/>
    <w:rsid w:val="001254DC"/>
    <w:rsid w:val="0012560C"/>
    <w:rsid w:val="001265D6"/>
    <w:rsid w:val="0012731C"/>
    <w:rsid w:val="0012750E"/>
    <w:rsid w:val="00127883"/>
    <w:rsid w:val="001313D8"/>
    <w:rsid w:val="00131AFC"/>
    <w:rsid w:val="00134738"/>
    <w:rsid w:val="00134F78"/>
    <w:rsid w:val="00135E94"/>
    <w:rsid w:val="0013634A"/>
    <w:rsid w:val="0013770D"/>
    <w:rsid w:val="0014176A"/>
    <w:rsid w:val="001428F5"/>
    <w:rsid w:val="001433B9"/>
    <w:rsid w:val="00144C80"/>
    <w:rsid w:val="00146479"/>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7056"/>
    <w:rsid w:val="00167E12"/>
    <w:rsid w:val="00167F49"/>
    <w:rsid w:val="00170669"/>
    <w:rsid w:val="00171A1B"/>
    <w:rsid w:val="00173FE7"/>
    <w:rsid w:val="001746C8"/>
    <w:rsid w:val="00174C1B"/>
    <w:rsid w:val="00174DF4"/>
    <w:rsid w:val="00175BDF"/>
    <w:rsid w:val="0017654B"/>
    <w:rsid w:val="001774E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7D9F"/>
    <w:rsid w:val="0019002E"/>
    <w:rsid w:val="001912B7"/>
    <w:rsid w:val="00191F92"/>
    <w:rsid w:val="001924A7"/>
    <w:rsid w:val="00192FA4"/>
    <w:rsid w:val="001932E1"/>
    <w:rsid w:val="00193756"/>
    <w:rsid w:val="00193F23"/>
    <w:rsid w:val="001941E1"/>
    <w:rsid w:val="00194797"/>
    <w:rsid w:val="001959F4"/>
    <w:rsid w:val="00196039"/>
    <w:rsid w:val="00196755"/>
    <w:rsid w:val="001976C9"/>
    <w:rsid w:val="001A0887"/>
    <w:rsid w:val="001A0CF0"/>
    <w:rsid w:val="001A0DE8"/>
    <w:rsid w:val="001A2726"/>
    <w:rsid w:val="001A2B46"/>
    <w:rsid w:val="001A3914"/>
    <w:rsid w:val="001A3A18"/>
    <w:rsid w:val="001A3B71"/>
    <w:rsid w:val="001A417F"/>
    <w:rsid w:val="001A453B"/>
    <w:rsid w:val="001A5158"/>
    <w:rsid w:val="001A587E"/>
    <w:rsid w:val="001A5A28"/>
    <w:rsid w:val="001A5B8C"/>
    <w:rsid w:val="001A6C01"/>
    <w:rsid w:val="001A722F"/>
    <w:rsid w:val="001B031F"/>
    <w:rsid w:val="001B0EFF"/>
    <w:rsid w:val="001B106B"/>
    <w:rsid w:val="001B172F"/>
    <w:rsid w:val="001B22DA"/>
    <w:rsid w:val="001B4B35"/>
    <w:rsid w:val="001B5050"/>
    <w:rsid w:val="001B5EE9"/>
    <w:rsid w:val="001B67FE"/>
    <w:rsid w:val="001B6961"/>
    <w:rsid w:val="001B74AF"/>
    <w:rsid w:val="001C0657"/>
    <w:rsid w:val="001C0EC7"/>
    <w:rsid w:val="001C0F16"/>
    <w:rsid w:val="001C2502"/>
    <w:rsid w:val="001C2864"/>
    <w:rsid w:val="001C2B06"/>
    <w:rsid w:val="001C643A"/>
    <w:rsid w:val="001C6AB3"/>
    <w:rsid w:val="001C7153"/>
    <w:rsid w:val="001C7906"/>
    <w:rsid w:val="001C7929"/>
    <w:rsid w:val="001C7949"/>
    <w:rsid w:val="001C7FDC"/>
    <w:rsid w:val="001D30AC"/>
    <w:rsid w:val="001D4118"/>
    <w:rsid w:val="001D61EA"/>
    <w:rsid w:val="001D6603"/>
    <w:rsid w:val="001D7FF1"/>
    <w:rsid w:val="001E0BBF"/>
    <w:rsid w:val="001E0CD2"/>
    <w:rsid w:val="001E15A4"/>
    <w:rsid w:val="001E2071"/>
    <w:rsid w:val="001E2161"/>
    <w:rsid w:val="001E3591"/>
    <w:rsid w:val="001E4329"/>
    <w:rsid w:val="001E4875"/>
    <w:rsid w:val="001E4F17"/>
    <w:rsid w:val="001E554E"/>
    <w:rsid w:val="001E5E46"/>
    <w:rsid w:val="001E6BD1"/>
    <w:rsid w:val="001E6E99"/>
    <w:rsid w:val="001E7AF5"/>
    <w:rsid w:val="001F1E22"/>
    <w:rsid w:val="001F23CC"/>
    <w:rsid w:val="001F276A"/>
    <w:rsid w:val="001F300B"/>
    <w:rsid w:val="001F304A"/>
    <w:rsid w:val="001F3BDD"/>
    <w:rsid w:val="001F42BB"/>
    <w:rsid w:val="001F45C1"/>
    <w:rsid w:val="001F49B3"/>
    <w:rsid w:val="001F4BC3"/>
    <w:rsid w:val="001F58EA"/>
    <w:rsid w:val="001F7163"/>
    <w:rsid w:val="001F7A4E"/>
    <w:rsid w:val="002007AB"/>
    <w:rsid w:val="00200DBF"/>
    <w:rsid w:val="00201958"/>
    <w:rsid w:val="00201B70"/>
    <w:rsid w:val="00201F83"/>
    <w:rsid w:val="0020273E"/>
    <w:rsid w:val="00202FFD"/>
    <w:rsid w:val="00203747"/>
    <w:rsid w:val="00203CA7"/>
    <w:rsid w:val="0020452B"/>
    <w:rsid w:val="00204C41"/>
    <w:rsid w:val="00204E39"/>
    <w:rsid w:val="00205149"/>
    <w:rsid w:val="0020561B"/>
    <w:rsid w:val="00205A67"/>
    <w:rsid w:val="002067CC"/>
    <w:rsid w:val="002105EA"/>
    <w:rsid w:val="00210F2B"/>
    <w:rsid w:val="00211568"/>
    <w:rsid w:val="00212233"/>
    <w:rsid w:val="002127CE"/>
    <w:rsid w:val="00215940"/>
    <w:rsid w:val="00216728"/>
    <w:rsid w:val="00216DCF"/>
    <w:rsid w:val="002179F2"/>
    <w:rsid w:val="00220A51"/>
    <w:rsid w:val="0022256E"/>
    <w:rsid w:val="002225E8"/>
    <w:rsid w:val="002229F1"/>
    <w:rsid w:val="002231EC"/>
    <w:rsid w:val="00223221"/>
    <w:rsid w:val="002245AF"/>
    <w:rsid w:val="002255E4"/>
    <w:rsid w:val="002262C3"/>
    <w:rsid w:val="00226B51"/>
    <w:rsid w:val="00230F45"/>
    <w:rsid w:val="00231BC8"/>
    <w:rsid w:val="002323F0"/>
    <w:rsid w:val="00232E0E"/>
    <w:rsid w:val="00234241"/>
    <w:rsid w:val="00234D6B"/>
    <w:rsid w:val="00235528"/>
    <w:rsid w:val="00235D9E"/>
    <w:rsid w:val="0023624C"/>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6441"/>
    <w:rsid w:val="00260820"/>
    <w:rsid w:val="00261612"/>
    <w:rsid w:val="00261E25"/>
    <w:rsid w:val="00263288"/>
    <w:rsid w:val="0026349D"/>
    <w:rsid w:val="00263B40"/>
    <w:rsid w:val="002640CF"/>
    <w:rsid w:val="002649B0"/>
    <w:rsid w:val="00264B88"/>
    <w:rsid w:val="00265600"/>
    <w:rsid w:val="0026621F"/>
    <w:rsid w:val="002663F7"/>
    <w:rsid w:val="00266497"/>
    <w:rsid w:val="002665E4"/>
    <w:rsid w:val="00266BE0"/>
    <w:rsid w:val="00270404"/>
    <w:rsid w:val="00270840"/>
    <w:rsid w:val="00270B1F"/>
    <w:rsid w:val="00270C79"/>
    <w:rsid w:val="00270E9D"/>
    <w:rsid w:val="002727B6"/>
    <w:rsid w:val="002729A6"/>
    <w:rsid w:val="00273A77"/>
    <w:rsid w:val="00273A86"/>
    <w:rsid w:val="00276859"/>
    <w:rsid w:val="00277548"/>
    <w:rsid w:val="00280232"/>
    <w:rsid w:val="00280844"/>
    <w:rsid w:val="00282166"/>
    <w:rsid w:val="0028219B"/>
    <w:rsid w:val="002823FB"/>
    <w:rsid w:val="00282942"/>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C01"/>
    <w:rsid w:val="00295B2C"/>
    <w:rsid w:val="00296792"/>
    <w:rsid w:val="002974A9"/>
    <w:rsid w:val="00297BE5"/>
    <w:rsid w:val="00297CAA"/>
    <w:rsid w:val="002A018E"/>
    <w:rsid w:val="002A197D"/>
    <w:rsid w:val="002A198A"/>
    <w:rsid w:val="002A1B18"/>
    <w:rsid w:val="002A1ED2"/>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6F0"/>
    <w:rsid w:val="002C1768"/>
    <w:rsid w:val="002C26DA"/>
    <w:rsid w:val="002C3130"/>
    <w:rsid w:val="002C380F"/>
    <w:rsid w:val="002C3F78"/>
    <w:rsid w:val="002C6409"/>
    <w:rsid w:val="002C7DF3"/>
    <w:rsid w:val="002D00DA"/>
    <w:rsid w:val="002D10E0"/>
    <w:rsid w:val="002D219F"/>
    <w:rsid w:val="002D4C12"/>
    <w:rsid w:val="002D57D2"/>
    <w:rsid w:val="002D5AA1"/>
    <w:rsid w:val="002D6259"/>
    <w:rsid w:val="002D6263"/>
    <w:rsid w:val="002E055D"/>
    <w:rsid w:val="002E09D9"/>
    <w:rsid w:val="002E118D"/>
    <w:rsid w:val="002E289D"/>
    <w:rsid w:val="002E3E66"/>
    <w:rsid w:val="002E4980"/>
    <w:rsid w:val="002E5D29"/>
    <w:rsid w:val="002F09F9"/>
    <w:rsid w:val="002F0CA8"/>
    <w:rsid w:val="002F1BA5"/>
    <w:rsid w:val="002F213C"/>
    <w:rsid w:val="002F428B"/>
    <w:rsid w:val="002F48DB"/>
    <w:rsid w:val="002F4997"/>
    <w:rsid w:val="002F5A02"/>
    <w:rsid w:val="002F6AC0"/>
    <w:rsid w:val="002F6FCA"/>
    <w:rsid w:val="002F7488"/>
    <w:rsid w:val="00301EFD"/>
    <w:rsid w:val="00301F9E"/>
    <w:rsid w:val="00303275"/>
    <w:rsid w:val="00303306"/>
    <w:rsid w:val="003034D6"/>
    <w:rsid w:val="003035AF"/>
    <w:rsid w:val="003039F2"/>
    <w:rsid w:val="00303E99"/>
    <w:rsid w:val="0030466C"/>
    <w:rsid w:val="00304A7F"/>
    <w:rsid w:val="003058D3"/>
    <w:rsid w:val="00306391"/>
    <w:rsid w:val="0030767F"/>
    <w:rsid w:val="0031129C"/>
    <w:rsid w:val="0031148B"/>
    <w:rsid w:val="00311A55"/>
    <w:rsid w:val="00312625"/>
    <w:rsid w:val="003129FB"/>
    <w:rsid w:val="003142E5"/>
    <w:rsid w:val="00315699"/>
    <w:rsid w:val="00315CBB"/>
    <w:rsid w:val="003174ED"/>
    <w:rsid w:val="0032025B"/>
    <w:rsid w:val="003202F0"/>
    <w:rsid w:val="0032108F"/>
    <w:rsid w:val="0032160B"/>
    <w:rsid w:val="00321AF3"/>
    <w:rsid w:val="00322168"/>
    <w:rsid w:val="00322565"/>
    <w:rsid w:val="00324C3B"/>
    <w:rsid w:val="00324D55"/>
    <w:rsid w:val="003263E2"/>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3934"/>
    <w:rsid w:val="00343B72"/>
    <w:rsid w:val="00343EAD"/>
    <w:rsid w:val="0034461D"/>
    <w:rsid w:val="0034496D"/>
    <w:rsid w:val="00344A38"/>
    <w:rsid w:val="003459F4"/>
    <w:rsid w:val="00345C90"/>
    <w:rsid w:val="00346F69"/>
    <w:rsid w:val="0034744B"/>
    <w:rsid w:val="0035304E"/>
    <w:rsid w:val="00353364"/>
    <w:rsid w:val="00354710"/>
    <w:rsid w:val="00354717"/>
    <w:rsid w:val="00356AF6"/>
    <w:rsid w:val="00356BC4"/>
    <w:rsid w:val="003572DF"/>
    <w:rsid w:val="00357986"/>
    <w:rsid w:val="00357BD5"/>
    <w:rsid w:val="0036089D"/>
    <w:rsid w:val="00360B62"/>
    <w:rsid w:val="00361591"/>
    <w:rsid w:val="003615FF"/>
    <w:rsid w:val="00361EC4"/>
    <w:rsid w:val="0036222D"/>
    <w:rsid w:val="0036277A"/>
    <w:rsid w:val="00363FD4"/>
    <w:rsid w:val="0036450A"/>
    <w:rsid w:val="00364AC8"/>
    <w:rsid w:val="003653CD"/>
    <w:rsid w:val="0036603C"/>
    <w:rsid w:val="00366CB7"/>
    <w:rsid w:val="00370907"/>
    <w:rsid w:val="003737A3"/>
    <w:rsid w:val="00373D3D"/>
    <w:rsid w:val="00375A33"/>
    <w:rsid w:val="00375D6E"/>
    <w:rsid w:val="003766F1"/>
    <w:rsid w:val="00376738"/>
    <w:rsid w:val="00376C25"/>
    <w:rsid w:val="00376EB4"/>
    <w:rsid w:val="00377948"/>
    <w:rsid w:val="00377ADB"/>
    <w:rsid w:val="0038003B"/>
    <w:rsid w:val="0038056C"/>
    <w:rsid w:val="00381FBC"/>
    <w:rsid w:val="003831DC"/>
    <w:rsid w:val="0038397D"/>
    <w:rsid w:val="003849E4"/>
    <w:rsid w:val="00385E19"/>
    <w:rsid w:val="003860E1"/>
    <w:rsid w:val="003866CD"/>
    <w:rsid w:val="00386EF7"/>
    <w:rsid w:val="003906BB"/>
    <w:rsid w:val="00390FA2"/>
    <w:rsid w:val="0039252C"/>
    <w:rsid w:val="003927AE"/>
    <w:rsid w:val="003937E2"/>
    <w:rsid w:val="003941AB"/>
    <w:rsid w:val="00394341"/>
    <w:rsid w:val="003943C9"/>
    <w:rsid w:val="003947D3"/>
    <w:rsid w:val="00395783"/>
    <w:rsid w:val="00395871"/>
    <w:rsid w:val="00395D52"/>
    <w:rsid w:val="003A086B"/>
    <w:rsid w:val="003A09A2"/>
    <w:rsid w:val="003A0ED6"/>
    <w:rsid w:val="003A10F1"/>
    <w:rsid w:val="003A3CF8"/>
    <w:rsid w:val="003A3F16"/>
    <w:rsid w:val="003A4F2F"/>
    <w:rsid w:val="003A55FA"/>
    <w:rsid w:val="003A6192"/>
    <w:rsid w:val="003A65A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3A4B"/>
    <w:rsid w:val="003C472E"/>
    <w:rsid w:val="003C4957"/>
    <w:rsid w:val="003C4C20"/>
    <w:rsid w:val="003C5DBB"/>
    <w:rsid w:val="003C60D1"/>
    <w:rsid w:val="003C6256"/>
    <w:rsid w:val="003C6FCA"/>
    <w:rsid w:val="003D0A9B"/>
    <w:rsid w:val="003D2FF4"/>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1BCD"/>
    <w:rsid w:val="003E24B2"/>
    <w:rsid w:val="003E2C76"/>
    <w:rsid w:val="003E37CA"/>
    <w:rsid w:val="003E44F0"/>
    <w:rsid w:val="003E5001"/>
    <w:rsid w:val="003E5A2C"/>
    <w:rsid w:val="003E5FAA"/>
    <w:rsid w:val="003E686C"/>
    <w:rsid w:val="003F0F2B"/>
    <w:rsid w:val="003F2158"/>
    <w:rsid w:val="003F2609"/>
    <w:rsid w:val="003F33FE"/>
    <w:rsid w:val="003F3593"/>
    <w:rsid w:val="003F3A41"/>
    <w:rsid w:val="003F3C1F"/>
    <w:rsid w:val="003F4006"/>
    <w:rsid w:val="003F462D"/>
    <w:rsid w:val="003F55A0"/>
    <w:rsid w:val="003F60BB"/>
    <w:rsid w:val="003F6DD8"/>
    <w:rsid w:val="0040028D"/>
    <w:rsid w:val="004002C5"/>
    <w:rsid w:val="004011BD"/>
    <w:rsid w:val="00401A7F"/>
    <w:rsid w:val="00401E2B"/>
    <w:rsid w:val="004020B0"/>
    <w:rsid w:val="0040261A"/>
    <w:rsid w:val="004035C8"/>
    <w:rsid w:val="00403631"/>
    <w:rsid w:val="00403F63"/>
    <w:rsid w:val="00404786"/>
    <w:rsid w:val="00404F7A"/>
    <w:rsid w:val="0040656D"/>
    <w:rsid w:val="004065B1"/>
    <w:rsid w:val="0040670E"/>
    <w:rsid w:val="004074C0"/>
    <w:rsid w:val="00407863"/>
    <w:rsid w:val="0041033E"/>
    <w:rsid w:val="00410A8B"/>
    <w:rsid w:val="00411333"/>
    <w:rsid w:val="0041690F"/>
    <w:rsid w:val="00417F10"/>
    <w:rsid w:val="00420365"/>
    <w:rsid w:val="00420943"/>
    <w:rsid w:val="00421133"/>
    <w:rsid w:val="004225E0"/>
    <w:rsid w:val="004226DB"/>
    <w:rsid w:val="00423F03"/>
    <w:rsid w:val="0042406C"/>
    <w:rsid w:val="00424796"/>
    <w:rsid w:val="004252E9"/>
    <w:rsid w:val="00425C6E"/>
    <w:rsid w:val="004266BD"/>
    <w:rsid w:val="00426981"/>
    <w:rsid w:val="0042714F"/>
    <w:rsid w:val="0042760D"/>
    <w:rsid w:val="00432493"/>
    <w:rsid w:val="00432A0A"/>
    <w:rsid w:val="0043388E"/>
    <w:rsid w:val="004340DD"/>
    <w:rsid w:val="00434CA6"/>
    <w:rsid w:val="00435B56"/>
    <w:rsid w:val="00435E6F"/>
    <w:rsid w:val="00437342"/>
    <w:rsid w:val="004376FF"/>
    <w:rsid w:val="00437F57"/>
    <w:rsid w:val="004401AD"/>
    <w:rsid w:val="00440EEC"/>
    <w:rsid w:val="004418EE"/>
    <w:rsid w:val="0044223A"/>
    <w:rsid w:val="0044264D"/>
    <w:rsid w:val="00442A9F"/>
    <w:rsid w:val="00445306"/>
    <w:rsid w:val="00445CAC"/>
    <w:rsid w:val="0044603A"/>
    <w:rsid w:val="00446210"/>
    <w:rsid w:val="00446490"/>
    <w:rsid w:val="00446CA1"/>
    <w:rsid w:val="00446DD8"/>
    <w:rsid w:val="004478C8"/>
    <w:rsid w:val="004502E8"/>
    <w:rsid w:val="004509BC"/>
    <w:rsid w:val="00451717"/>
    <w:rsid w:val="00451BFC"/>
    <w:rsid w:val="00451CB7"/>
    <w:rsid w:val="00452541"/>
    <w:rsid w:val="004528BE"/>
    <w:rsid w:val="00452CBD"/>
    <w:rsid w:val="004533B8"/>
    <w:rsid w:val="00453688"/>
    <w:rsid w:val="00453FD0"/>
    <w:rsid w:val="00454C47"/>
    <w:rsid w:val="00455067"/>
    <w:rsid w:val="00455178"/>
    <w:rsid w:val="00455976"/>
    <w:rsid w:val="00457181"/>
    <w:rsid w:val="00460851"/>
    <w:rsid w:val="00460FCC"/>
    <w:rsid w:val="004615B7"/>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3A3"/>
    <w:rsid w:val="004836C6"/>
    <w:rsid w:val="00485216"/>
    <w:rsid w:val="004854BB"/>
    <w:rsid w:val="004856B2"/>
    <w:rsid w:val="00485712"/>
    <w:rsid w:val="0048630B"/>
    <w:rsid w:val="004863D8"/>
    <w:rsid w:val="0048644F"/>
    <w:rsid w:val="0048659C"/>
    <w:rsid w:val="00486667"/>
    <w:rsid w:val="004869C5"/>
    <w:rsid w:val="00486A7E"/>
    <w:rsid w:val="004871C5"/>
    <w:rsid w:val="004900DE"/>
    <w:rsid w:val="004901FD"/>
    <w:rsid w:val="004902FC"/>
    <w:rsid w:val="00492052"/>
    <w:rsid w:val="00492307"/>
    <w:rsid w:val="00492CAA"/>
    <w:rsid w:val="00493081"/>
    <w:rsid w:val="00493377"/>
    <w:rsid w:val="00493C48"/>
    <w:rsid w:val="00493F3C"/>
    <w:rsid w:val="00493FBD"/>
    <w:rsid w:val="0049632B"/>
    <w:rsid w:val="00496AC0"/>
    <w:rsid w:val="00497D9B"/>
    <w:rsid w:val="004A2427"/>
    <w:rsid w:val="004A32E2"/>
    <w:rsid w:val="004A37F5"/>
    <w:rsid w:val="004A3E4B"/>
    <w:rsid w:val="004A5187"/>
    <w:rsid w:val="004A5434"/>
    <w:rsid w:val="004A56B1"/>
    <w:rsid w:val="004A5883"/>
    <w:rsid w:val="004A61AF"/>
    <w:rsid w:val="004A67AD"/>
    <w:rsid w:val="004A7B5E"/>
    <w:rsid w:val="004A7E18"/>
    <w:rsid w:val="004B03E8"/>
    <w:rsid w:val="004B0E0B"/>
    <w:rsid w:val="004B106B"/>
    <w:rsid w:val="004B1D3F"/>
    <w:rsid w:val="004B2C50"/>
    <w:rsid w:val="004B2DC6"/>
    <w:rsid w:val="004B3897"/>
    <w:rsid w:val="004B3FC4"/>
    <w:rsid w:val="004B44DE"/>
    <w:rsid w:val="004B4E54"/>
    <w:rsid w:val="004B5174"/>
    <w:rsid w:val="004B58E6"/>
    <w:rsid w:val="004B6431"/>
    <w:rsid w:val="004B75D2"/>
    <w:rsid w:val="004B75E8"/>
    <w:rsid w:val="004C0029"/>
    <w:rsid w:val="004C0A7C"/>
    <w:rsid w:val="004C0D1D"/>
    <w:rsid w:val="004C1B98"/>
    <w:rsid w:val="004C1DB4"/>
    <w:rsid w:val="004C1F95"/>
    <w:rsid w:val="004C2353"/>
    <w:rsid w:val="004C23D6"/>
    <w:rsid w:val="004C2B33"/>
    <w:rsid w:val="004C3AD8"/>
    <w:rsid w:val="004C3F7C"/>
    <w:rsid w:val="004C409E"/>
    <w:rsid w:val="004C58DC"/>
    <w:rsid w:val="004C61E5"/>
    <w:rsid w:val="004C7104"/>
    <w:rsid w:val="004C7CAE"/>
    <w:rsid w:val="004D091E"/>
    <w:rsid w:val="004D268F"/>
    <w:rsid w:val="004D43B1"/>
    <w:rsid w:val="004D4D97"/>
    <w:rsid w:val="004D50DA"/>
    <w:rsid w:val="004D5539"/>
    <w:rsid w:val="004D557E"/>
    <w:rsid w:val="004D59C3"/>
    <w:rsid w:val="004D7A5F"/>
    <w:rsid w:val="004E050F"/>
    <w:rsid w:val="004E0619"/>
    <w:rsid w:val="004E070B"/>
    <w:rsid w:val="004E0F36"/>
    <w:rsid w:val="004E17DF"/>
    <w:rsid w:val="004E192E"/>
    <w:rsid w:val="004E1B82"/>
    <w:rsid w:val="004E2E07"/>
    <w:rsid w:val="004E30F2"/>
    <w:rsid w:val="004E3373"/>
    <w:rsid w:val="004E3A6B"/>
    <w:rsid w:val="004E3CC9"/>
    <w:rsid w:val="004E46D6"/>
    <w:rsid w:val="004E49CD"/>
    <w:rsid w:val="004E4EF4"/>
    <w:rsid w:val="004E50A5"/>
    <w:rsid w:val="004E56D6"/>
    <w:rsid w:val="004E6E36"/>
    <w:rsid w:val="004E6E5B"/>
    <w:rsid w:val="004F0525"/>
    <w:rsid w:val="004F07DC"/>
    <w:rsid w:val="004F157C"/>
    <w:rsid w:val="004F1E3F"/>
    <w:rsid w:val="004F3067"/>
    <w:rsid w:val="004F4132"/>
    <w:rsid w:val="004F54ED"/>
    <w:rsid w:val="004F5CD2"/>
    <w:rsid w:val="004F6630"/>
    <w:rsid w:val="004F6B20"/>
    <w:rsid w:val="004F713F"/>
    <w:rsid w:val="004F72B7"/>
    <w:rsid w:val="004F7E47"/>
    <w:rsid w:val="00500A2F"/>
    <w:rsid w:val="005032DA"/>
    <w:rsid w:val="00504781"/>
    <w:rsid w:val="00504B5B"/>
    <w:rsid w:val="00504E5E"/>
    <w:rsid w:val="00505813"/>
    <w:rsid w:val="00506350"/>
    <w:rsid w:val="00507FCD"/>
    <w:rsid w:val="00510428"/>
    <w:rsid w:val="00510DF6"/>
    <w:rsid w:val="0051187C"/>
    <w:rsid w:val="00511A12"/>
    <w:rsid w:val="005131BB"/>
    <w:rsid w:val="005151E5"/>
    <w:rsid w:val="00517377"/>
    <w:rsid w:val="005173A7"/>
    <w:rsid w:val="00517DE2"/>
    <w:rsid w:val="0052071C"/>
    <w:rsid w:val="00520D87"/>
    <w:rsid w:val="005212DB"/>
    <w:rsid w:val="00521411"/>
    <w:rsid w:val="00521DCF"/>
    <w:rsid w:val="00522539"/>
    <w:rsid w:val="00522722"/>
    <w:rsid w:val="005233F4"/>
    <w:rsid w:val="00523CAB"/>
    <w:rsid w:val="00526567"/>
    <w:rsid w:val="00526A90"/>
    <w:rsid w:val="00526E73"/>
    <w:rsid w:val="00527426"/>
    <w:rsid w:val="005318FC"/>
    <w:rsid w:val="005319D9"/>
    <w:rsid w:val="00532374"/>
    <w:rsid w:val="00533B0A"/>
    <w:rsid w:val="00533E29"/>
    <w:rsid w:val="00533F7A"/>
    <w:rsid w:val="00534710"/>
    <w:rsid w:val="005351F4"/>
    <w:rsid w:val="00536D71"/>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672A"/>
    <w:rsid w:val="005475C2"/>
    <w:rsid w:val="0054766F"/>
    <w:rsid w:val="005476BB"/>
    <w:rsid w:val="00547A5C"/>
    <w:rsid w:val="00547B70"/>
    <w:rsid w:val="00550D42"/>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0B05"/>
    <w:rsid w:val="005612CE"/>
    <w:rsid w:val="00562CD3"/>
    <w:rsid w:val="0056310C"/>
    <w:rsid w:val="00563195"/>
    <w:rsid w:val="00563BD7"/>
    <w:rsid w:val="005641BA"/>
    <w:rsid w:val="00565031"/>
    <w:rsid w:val="005652A9"/>
    <w:rsid w:val="00566461"/>
    <w:rsid w:val="0056675F"/>
    <w:rsid w:val="00567991"/>
    <w:rsid w:val="00567ED2"/>
    <w:rsid w:val="00570465"/>
    <w:rsid w:val="0057134F"/>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80F24"/>
    <w:rsid w:val="00581017"/>
    <w:rsid w:val="00581666"/>
    <w:rsid w:val="005819FE"/>
    <w:rsid w:val="00581D64"/>
    <w:rsid w:val="00581D89"/>
    <w:rsid w:val="00581D9B"/>
    <w:rsid w:val="00581FAD"/>
    <w:rsid w:val="00582102"/>
    <w:rsid w:val="00583057"/>
    <w:rsid w:val="00584A9E"/>
    <w:rsid w:val="00584E76"/>
    <w:rsid w:val="0058508F"/>
    <w:rsid w:val="00586639"/>
    <w:rsid w:val="00590377"/>
    <w:rsid w:val="00590D14"/>
    <w:rsid w:val="00590E7E"/>
    <w:rsid w:val="00591A27"/>
    <w:rsid w:val="0059262C"/>
    <w:rsid w:val="00592A32"/>
    <w:rsid w:val="00592FE6"/>
    <w:rsid w:val="00593887"/>
    <w:rsid w:val="00593FBA"/>
    <w:rsid w:val="00595C9B"/>
    <w:rsid w:val="0059674A"/>
    <w:rsid w:val="00597421"/>
    <w:rsid w:val="005975C4"/>
    <w:rsid w:val="0059769A"/>
    <w:rsid w:val="005A0483"/>
    <w:rsid w:val="005A1B33"/>
    <w:rsid w:val="005A2716"/>
    <w:rsid w:val="005A3222"/>
    <w:rsid w:val="005A6A84"/>
    <w:rsid w:val="005A720A"/>
    <w:rsid w:val="005A7730"/>
    <w:rsid w:val="005A7A47"/>
    <w:rsid w:val="005B0928"/>
    <w:rsid w:val="005B0B7C"/>
    <w:rsid w:val="005B0BC7"/>
    <w:rsid w:val="005B1972"/>
    <w:rsid w:val="005B24E3"/>
    <w:rsid w:val="005B2BB5"/>
    <w:rsid w:val="005B3116"/>
    <w:rsid w:val="005B35E0"/>
    <w:rsid w:val="005B4560"/>
    <w:rsid w:val="005B4678"/>
    <w:rsid w:val="005B55B2"/>
    <w:rsid w:val="005B5784"/>
    <w:rsid w:val="005B5CDA"/>
    <w:rsid w:val="005B6991"/>
    <w:rsid w:val="005C0232"/>
    <w:rsid w:val="005C159D"/>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0CCD"/>
    <w:rsid w:val="005D1499"/>
    <w:rsid w:val="005D18C2"/>
    <w:rsid w:val="005D22EF"/>
    <w:rsid w:val="005D2822"/>
    <w:rsid w:val="005D2AD2"/>
    <w:rsid w:val="005D2F39"/>
    <w:rsid w:val="005D30F6"/>
    <w:rsid w:val="005D3512"/>
    <w:rsid w:val="005D433F"/>
    <w:rsid w:val="005D53DF"/>
    <w:rsid w:val="005D5A0C"/>
    <w:rsid w:val="005D6F1C"/>
    <w:rsid w:val="005D7159"/>
    <w:rsid w:val="005D7488"/>
    <w:rsid w:val="005E0A62"/>
    <w:rsid w:val="005E12A5"/>
    <w:rsid w:val="005E16D0"/>
    <w:rsid w:val="005E1DC1"/>
    <w:rsid w:val="005E2D3A"/>
    <w:rsid w:val="005E38A6"/>
    <w:rsid w:val="005E5082"/>
    <w:rsid w:val="005E646C"/>
    <w:rsid w:val="005E678C"/>
    <w:rsid w:val="005E70CB"/>
    <w:rsid w:val="005E75AE"/>
    <w:rsid w:val="005F0786"/>
    <w:rsid w:val="005F1701"/>
    <w:rsid w:val="005F3CB3"/>
    <w:rsid w:val="005F4719"/>
    <w:rsid w:val="005F4A71"/>
    <w:rsid w:val="005F541B"/>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64F5"/>
    <w:rsid w:val="0061001C"/>
    <w:rsid w:val="0061083E"/>
    <w:rsid w:val="00610A29"/>
    <w:rsid w:val="00610CCA"/>
    <w:rsid w:val="00611526"/>
    <w:rsid w:val="00611FDB"/>
    <w:rsid w:val="00612248"/>
    <w:rsid w:val="00613898"/>
    <w:rsid w:val="00614461"/>
    <w:rsid w:val="00614779"/>
    <w:rsid w:val="00614796"/>
    <w:rsid w:val="00614C0A"/>
    <w:rsid w:val="00615E7D"/>
    <w:rsid w:val="00616931"/>
    <w:rsid w:val="006170A3"/>
    <w:rsid w:val="00617D4E"/>
    <w:rsid w:val="006208B9"/>
    <w:rsid w:val="00620C0F"/>
    <w:rsid w:val="006214F4"/>
    <w:rsid w:val="006219EC"/>
    <w:rsid w:val="00621A3B"/>
    <w:rsid w:val="0062244E"/>
    <w:rsid w:val="00623592"/>
    <w:rsid w:val="00626DF5"/>
    <w:rsid w:val="006275CC"/>
    <w:rsid w:val="006318F4"/>
    <w:rsid w:val="00634155"/>
    <w:rsid w:val="00634312"/>
    <w:rsid w:val="00635E88"/>
    <w:rsid w:val="00636294"/>
    <w:rsid w:val="006364AD"/>
    <w:rsid w:val="006364CB"/>
    <w:rsid w:val="00636E8A"/>
    <w:rsid w:val="00637305"/>
    <w:rsid w:val="006373A9"/>
    <w:rsid w:val="00637C60"/>
    <w:rsid w:val="006407C0"/>
    <w:rsid w:val="006411A5"/>
    <w:rsid w:val="00641F1D"/>
    <w:rsid w:val="00642BC2"/>
    <w:rsid w:val="00642F00"/>
    <w:rsid w:val="0064384A"/>
    <w:rsid w:val="006446ED"/>
    <w:rsid w:val="006449E2"/>
    <w:rsid w:val="00644B4B"/>
    <w:rsid w:val="00646493"/>
    <w:rsid w:val="00647D1B"/>
    <w:rsid w:val="0065063C"/>
    <w:rsid w:val="00650742"/>
    <w:rsid w:val="00651445"/>
    <w:rsid w:val="00651C4C"/>
    <w:rsid w:val="00651CD6"/>
    <w:rsid w:val="00651EA7"/>
    <w:rsid w:val="00651EA8"/>
    <w:rsid w:val="00652AA7"/>
    <w:rsid w:val="006530F5"/>
    <w:rsid w:val="006533D3"/>
    <w:rsid w:val="00653564"/>
    <w:rsid w:val="006537EF"/>
    <w:rsid w:val="00654FEE"/>
    <w:rsid w:val="006550AB"/>
    <w:rsid w:val="0065582F"/>
    <w:rsid w:val="00655987"/>
    <w:rsid w:val="0065662A"/>
    <w:rsid w:val="006570C3"/>
    <w:rsid w:val="006607B9"/>
    <w:rsid w:val="00660B0A"/>
    <w:rsid w:val="006612F9"/>
    <w:rsid w:val="00661752"/>
    <w:rsid w:val="00663B4D"/>
    <w:rsid w:val="00663EA3"/>
    <w:rsid w:val="00664E82"/>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7C5"/>
    <w:rsid w:val="00686F5D"/>
    <w:rsid w:val="0069016A"/>
    <w:rsid w:val="00691B8E"/>
    <w:rsid w:val="00692CF5"/>
    <w:rsid w:val="006950D4"/>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E21"/>
    <w:rsid w:val="006A6F2B"/>
    <w:rsid w:val="006A760C"/>
    <w:rsid w:val="006B0666"/>
    <w:rsid w:val="006B30D8"/>
    <w:rsid w:val="006B35EB"/>
    <w:rsid w:val="006B3BD3"/>
    <w:rsid w:val="006B56C5"/>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9CB"/>
    <w:rsid w:val="006C4E05"/>
    <w:rsid w:val="006C6534"/>
    <w:rsid w:val="006D1DFA"/>
    <w:rsid w:val="006D212F"/>
    <w:rsid w:val="006D2C16"/>
    <w:rsid w:val="006D3018"/>
    <w:rsid w:val="006D3815"/>
    <w:rsid w:val="006D3A62"/>
    <w:rsid w:val="006D3FC0"/>
    <w:rsid w:val="006D4BB9"/>
    <w:rsid w:val="006D52AC"/>
    <w:rsid w:val="006D5363"/>
    <w:rsid w:val="006D6869"/>
    <w:rsid w:val="006D74B2"/>
    <w:rsid w:val="006D76B3"/>
    <w:rsid w:val="006D7DE8"/>
    <w:rsid w:val="006E005E"/>
    <w:rsid w:val="006E056D"/>
    <w:rsid w:val="006E05ED"/>
    <w:rsid w:val="006E0B80"/>
    <w:rsid w:val="006E19EE"/>
    <w:rsid w:val="006E1FA3"/>
    <w:rsid w:val="006E2099"/>
    <w:rsid w:val="006E21E1"/>
    <w:rsid w:val="006E2D6E"/>
    <w:rsid w:val="006E2F57"/>
    <w:rsid w:val="006E3542"/>
    <w:rsid w:val="006E40B1"/>
    <w:rsid w:val="006E4BFC"/>
    <w:rsid w:val="006E5C5D"/>
    <w:rsid w:val="006E62A7"/>
    <w:rsid w:val="006E67A4"/>
    <w:rsid w:val="006E70A3"/>
    <w:rsid w:val="006E714D"/>
    <w:rsid w:val="006E72E1"/>
    <w:rsid w:val="006F0042"/>
    <w:rsid w:val="006F1129"/>
    <w:rsid w:val="006F2256"/>
    <w:rsid w:val="006F23A3"/>
    <w:rsid w:val="006F451B"/>
    <w:rsid w:val="006F575E"/>
    <w:rsid w:val="006F57AD"/>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39D1"/>
    <w:rsid w:val="00704187"/>
    <w:rsid w:val="00704C0C"/>
    <w:rsid w:val="007061F3"/>
    <w:rsid w:val="0070764D"/>
    <w:rsid w:val="00707AE5"/>
    <w:rsid w:val="00711315"/>
    <w:rsid w:val="0071404C"/>
    <w:rsid w:val="007148D9"/>
    <w:rsid w:val="0071637E"/>
    <w:rsid w:val="00716430"/>
    <w:rsid w:val="0071760B"/>
    <w:rsid w:val="00717639"/>
    <w:rsid w:val="00717868"/>
    <w:rsid w:val="00717F8C"/>
    <w:rsid w:val="00720449"/>
    <w:rsid w:val="00721229"/>
    <w:rsid w:val="00721561"/>
    <w:rsid w:val="007220A2"/>
    <w:rsid w:val="0072299D"/>
    <w:rsid w:val="0072383C"/>
    <w:rsid w:val="00726B71"/>
    <w:rsid w:val="007300A2"/>
    <w:rsid w:val="007304A8"/>
    <w:rsid w:val="007330F6"/>
    <w:rsid w:val="00733F64"/>
    <w:rsid w:val="00734CEC"/>
    <w:rsid w:val="007369E2"/>
    <w:rsid w:val="00736FA9"/>
    <w:rsid w:val="0073702F"/>
    <w:rsid w:val="0074149C"/>
    <w:rsid w:val="00742131"/>
    <w:rsid w:val="00743069"/>
    <w:rsid w:val="00743161"/>
    <w:rsid w:val="00743C4F"/>
    <w:rsid w:val="00743CDA"/>
    <w:rsid w:val="00744571"/>
    <w:rsid w:val="007455E1"/>
    <w:rsid w:val="0074636E"/>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1EC0"/>
    <w:rsid w:val="00763058"/>
    <w:rsid w:val="00763644"/>
    <w:rsid w:val="00763A7F"/>
    <w:rsid w:val="00764596"/>
    <w:rsid w:val="00764D89"/>
    <w:rsid w:val="007653A3"/>
    <w:rsid w:val="0076571E"/>
    <w:rsid w:val="00765BF4"/>
    <w:rsid w:val="00766071"/>
    <w:rsid w:val="00766985"/>
    <w:rsid w:val="00770595"/>
    <w:rsid w:val="00771EFF"/>
    <w:rsid w:val="0077212B"/>
    <w:rsid w:val="007724A4"/>
    <w:rsid w:val="007730A7"/>
    <w:rsid w:val="0077323B"/>
    <w:rsid w:val="00774693"/>
    <w:rsid w:val="00775B04"/>
    <w:rsid w:val="00775D06"/>
    <w:rsid w:val="00776322"/>
    <w:rsid w:val="00776347"/>
    <w:rsid w:val="00776EF1"/>
    <w:rsid w:val="007779DC"/>
    <w:rsid w:val="00777BAE"/>
    <w:rsid w:val="00777FAF"/>
    <w:rsid w:val="00780286"/>
    <w:rsid w:val="00780FE9"/>
    <w:rsid w:val="0078506E"/>
    <w:rsid w:val="00786C06"/>
    <w:rsid w:val="00786CF6"/>
    <w:rsid w:val="0078774B"/>
    <w:rsid w:val="00787972"/>
    <w:rsid w:val="00787993"/>
    <w:rsid w:val="00790875"/>
    <w:rsid w:val="0079119B"/>
    <w:rsid w:val="00791E32"/>
    <w:rsid w:val="00792DD0"/>
    <w:rsid w:val="00793450"/>
    <w:rsid w:val="007939B4"/>
    <w:rsid w:val="00794A63"/>
    <w:rsid w:val="00795AE0"/>
    <w:rsid w:val="00795F48"/>
    <w:rsid w:val="007970EE"/>
    <w:rsid w:val="00797FB6"/>
    <w:rsid w:val="007A065F"/>
    <w:rsid w:val="007A1D4B"/>
    <w:rsid w:val="007A42B5"/>
    <w:rsid w:val="007A4B45"/>
    <w:rsid w:val="007A6751"/>
    <w:rsid w:val="007A6CD0"/>
    <w:rsid w:val="007B05DD"/>
    <w:rsid w:val="007B0D22"/>
    <w:rsid w:val="007B0FFE"/>
    <w:rsid w:val="007B1568"/>
    <w:rsid w:val="007B2BCF"/>
    <w:rsid w:val="007B2E71"/>
    <w:rsid w:val="007B3F06"/>
    <w:rsid w:val="007B447B"/>
    <w:rsid w:val="007B5AE2"/>
    <w:rsid w:val="007B6C07"/>
    <w:rsid w:val="007B7442"/>
    <w:rsid w:val="007B77CB"/>
    <w:rsid w:val="007C0BD4"/>
    <w:rsid w:val="007C0DF6"/>
    <w:rsid w:val="007C1B1A"/>
    <w:rsid w:val="007C1D26"/>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5C9E"/>
    <w:rsid w:val="007D6548"/>
    <w:rsid w:val="007D68AA"/>
    <w:rsid w:val="007D711F"/>
    <w:rsid w:val="007D73E6"/>
    <w:rsid w:val="007D74FD"/>
    <w:rsid w:val="007D75B0"/>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711"/>
    <w:rsid w:val="007F2F7A"/>
    <w:rsid w:val="007F3395"/>
    <w:rsid w:val="007F53DC"/>
    <w:rsid w:val="007F68AF"/>
    <w:rsid w:val="007F6C48"/>
    <w:rsid w:val="007F6D56"/>
    <w:rsid w:val="007F7809"/>
    <w:rsid w:val="00800688"/>
    <w:rsid w:val="00800AE8"/>
    <w:rsid w:val="00800B3F"/>
    <w:rsid w:val="00800E5E"/>
    <w:rsid w:val="00800EEE"/>
    <w:rsid w:val="00801511"/>
    <w:rsid w:val="00801991"/>
    <w:rsid w:val="0080221F"/>
    <w:rsid w:val="00803187"/>
    <w:rsid w:val="00803630"/>
    <w:rsid w:val="00804A65"/>
    <w:rsid w:val="00807198"/>
    <w:rsid w:val="008071F9"/>
    <w:rsid w:val="00807967"/>
    <w:rsid w:val="00807C09"/>
    <w:rsid w:val="0081005D"/>
    <w:rsid w:val="00810F17"/>
    <w:rsid w:val="00811A56"/>
    <w:rsid w:val="00813194"/>
    <w:rsid w:val="008134B1"/>
    <w:rsid w:val="00813DBB"/>
    <w:rsid w:val="00814E59"/>
    <w:rsid w:val="00814F91"/>
    <w:rsid w:val="00815631"/>
    <w:rsid w:val="00816159"/>
    <w:rsid w:val="0081624C"/>
    <w:rsid w:val="008165C2"/>
    <w:rsid w:val="008165FC"/>
    <w:rsid w:val="00816789"/>
    <w:rsid w:val="00816BF5"/>
    <w:rsid w:val="0082076B"/>
    <w:rsid w:val="0082090B"/>
    <w:rsid w:val="00820AD4"/>
    <w:rsid w:val="00820DBD"/>
    <w:rsid w:val="00820F30"/>
    <w:rsid w:val="00821482"/>
    <w:rsid w:val="00821594"/>
    <w:rsid w:val="0082177C"/>
    <w:rsid w:val="00821E42"/>
    <w:rsid w:val="00822159"/>
    <w:rsid w:val="0082264B"/>
    <w:rsid w:val="00822DD3"/>
    <w:rsid w:val="0082372B"/>
    <w:rsid w:val="00824753"/>
    <w:rsid w:val="00826756"/>
    <w:rsid w:val="00826DF2"/>
    <w:rsid w:val="008270D1"/>
    <w:rsid w:val="008278BF"/>
    <w:rsid w:val="00827C5F"/>
    <w:rsid w:val="00830B98"/>
    <w:rsid w:val="0083153B"/>
    <w:rsid w:val="00834504"/>
    <w:rsid w:val="00834837"/>
    <w:rsid w:val="00834E38"/>
    <w:rsid w:val="008350D3"/>
    <w:rsid w:val="0083587B"/>
    <w:rsid w:val="00840627"/>
    <w:rsid w:val="00840D18"/>
    <w:rsid w:val="00840EA9"/>
    <w:rsid w:val="00841021"/>
    <w:rsid w:val="00841855"/>
    <w:rsid w:val="00843371"/>
    <w:rsid w:val="0084340A"/>
    <w:rsid w:val="0084488D"/>
    <w:rsid w:val="00845204"/>
    <w:rsid w:val="00846445"/>
    <w:rsid w:val="00846501"/>
    <w:rsid w:val="00847C14"/>
    <w:rsid w:val="0085005E"/>
    <w:rsid w:val="00850B87"/>
    <w:rsid w:val="00850E37"/>
    <w:rsid w:val="008510DE"/>
    <w:rsid w:val="00851329"/>
    <w:rsid w:val="0085136F"/>
    <w:rsid w:val="00851A2D"/>
    <w:rsid w:val="0085268C"/>
    <w:rsid w:val="008528A7"/>
    <w:rsid w:val="00852A49"/>
    <w:rsid w:val="00852DCC"/>
    <w:rsid w:val="0085470E"/>
    <w:rsid w:val="00854D43"/>
    <w:rsid w:val="00855360"/>
    <w:rsid w:val="0085538B"/>
    <w:rsid w:val="00856578"/>
    <w:rsid w:val="00856DD4"/>
    <w:rsid w:val="00856DDC"/>
    <w:rsid w:val="00856F75"/>
    <w:rsid w:val="00857031"/>
    <w:rsid w:val="0086034B"/>
    <w:rsid w:val="00860563"/>
    <w:rsid w:val="008619A4"/>
    <w:rsid w:val="008622CF"/>
    <w:rsid w:val="00862B00"/>
    <w:rsid w:val="00863321"/>
    <w:rsid w:val="0086338F"/>
    <w:rsid w:val="00864159"/>
    <w:rsid w:val="00864CCF"/>
    <w:rsid w:val="0086528B"/>
    <w:rsid w:val="00866144"/>
    <w:rsid w:val="0087102F"/>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28C"/>
    <w:rsid w:val="00881999"/>
    <w:rsid w:val="00881BD4"/>
    <w:rsid w:val="008835A4"/>
    <w:rsid w:val="00883F6E"/>
    <w:rsid w:val="00885586"/>
    <w:rsid w:val="00885C64"/>
    <w:rsid w:val="008862B3"/>
    <w:rsid w:val="00887372"/>
    <w:rsid w:val="00890077"/>
    <w:rsid w:val="00891C78"/>
    <w:rsid w:val="0089285F"/>
    <w:rsid w:val="008932B5"/>
    <w:rsid w:val="0089365C"/>
    <w:rsid w:val="00894FC4"/>
    <w:rsid w:val="00897C0F"/>
    <w:rsid w:val="00897D29"/>
    <w:rsid w:val="00897DA7"/>
    <w:rsid w:val="008A215E"/>
    <w:rsid w:val="008A297C"/>
    <w:rsid w:val="008A3965"/>
    <w:rsid w:val="008A3F44"/>
    <w:rsid w:val="008A437A"/>
    <w:rsid w:val="008A4F36"/>
    <w:rsid w:val="008A5284"/>
    <w:rsid w:val="008A56F6"/>
    <w:rsid w:val="008A6134"/>
    <w:rsid w:val="008A66B6"/>
    <w:rsid w:val="008A6BDB"/>
    <w:rsid w:val="008A7548"/>
    <w:rsid w:val="008A771F"/>
    <w:rsid w:val="008A782D"/>
    <w:rsid w:val="008A7C7E"/>
    <w:rsid w:val="008A7E0C"/>
    <w:rsid w:val="008B0EF1"/>
    <w:rsid w:val="008B1594"/>
    <w:rsid w:val="008B1D5E"/>
    <w:rsid w:val="008B1F5A"/>
    <w:rsid w:val="008B342E"/>
    <w:rsid w:val="008B53A4"/>
    <w:rsid w:val="008B5649"/>
    <w:rsid w:val="008B5D72"/>
    <w:rsid w:val="008B657B"/>
    <w:rsid w:val="008B7952"/>
    <w:rsid w:val="008B7ECB"/>
    <w:rsid w:val="008C065A"/>
    <w:rsid w:val="008C07F3"/>
    <w:rsid w:val="008C1404"/>
    <w:rsid w:val="008C29F8"/>
    <w:rsid w:val="008C2BAC"/>
    <w:rsid w:val="008C2DB0"/>
    <w:rsid w:val="008C525A"/>
    <w:rsid w:val="008C5464"/>
    <w:rsid w:val="008C6338"/>
    <w:rsid w:val="008C63EE"/>
    <w:rsid w:val="008C7773"/>
    <w:rsid w:val="008C79EE"/>
    <w:rsid w:val="008C7EC6"/>
    <w:rsid w:val="008D0396"/>
    <w:rsid w:val="008D043E"/>
    <w:rsid w:val="008D2EA9"/>
    <w:rsid w:val="008D3E7B"/>
    <w:rsid w:val="008D42C1"/>
    <w:rsid w:val="008D48ED"/>
    <w:rsid w:val="008D58F0"/>
    <w:rsid w:val="008D62AE"/>
    <w:rsid w:val="008D7235"/>
    <w:rsid w:val="008E05E3"/>
    <w:rsid w:val="008E1F7C"/>
    <w:rsid w:val="008E29DA"/>
    <w:rsid w:val="008E3BB8"/>
    <w:rsid w:val="008E3D6D"/>
    <w:rsid w:val="008E4CFD"/>
    <w:rsid w:val="008E5AAB"/>
    <w:rsid w:val="008E6C67"/>
    <w:rsid w:val="008E74C9"/>
    <w:rsid w:val="008E7B33"/>
    <w:rsid w:val="008F1C6A"/>
    <w:rsid w:val="008F201C"/>
    <w:rsid w:val="008F29B2"/>
    <w:rsid w:val="008F499E"/>
    <w:rsid w:val="008F5C91"/>
    <w:rsid w:val="008F6489"/>
    <w:rsid w:val="008F6D16"/>
    <w:rsid w:val="008F6DF7"/>
    <w:rsid w:val="00900DB5"/>
    <w:rsid w:val="00901623"/>
    <w:rsid w:val="00901685"/>
    <w:rsid w:val="00901947"/>
    <w:rsid w:val="00902D9C"/>
    <w:rsid w:val="00902DDD"/>
    <w:rsid w:val="00903E2E"/>
    <w:rsid w:val="00903ED0"/>
    <w:rsid w:val="009060AD"/>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205A"/>
    <w:rsid w:val="009232CD"/>
    <w:rsid w:val="00923809"/>
    <w:rsid w:val="00923C18"/>
    <w:rsid w:val="0092568E"/>
    <w:rsid w:val="009257CF"/>
    <w:rsid w:val="00927F98"/>
    <w:rsid w:val="00930143"/>
    <w:rsid w:val="00930361"/>
    <w:rsid w:val="00930532"/>
    <w:rsid w:val="00931C21"/>
    <w:rsid w:val="00931D16"/>
    <w:rsid w:val="00931E4E"/>
    <w:rsid w:val="00932232"/>
    <w:rsid w:val="009328A1"/>
    <w:rsid w:val="00933897"/>
    <w:rsid w:val="0093408C"/>
    <w:rsid w:val="009347FB"/>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65B4"/>
    <w:rsid w:val="00947247"/>
    <w:rsid w:val="00947439"/>
    <w:rsid w:val="00947F03"/>
    <w:rsid w:val="0095149E"/>
    <w:rsid w:val="00952245"/>
    <w:rsid w:val="009536DC"/>
    <w:rsid w:val="00955043"/>
    <w:rsid w:val="00955C72"/>
    <w:rsid w:val="0095678F"/>
    <w:rsid w:val="00957863"/>
    <w:rsid w:val="00957D1C"/>
    <w:rsid w:val="00960637"/>
    <w:rsid w:val="00961EA3"/>
    <w:rsid w:val="00962D2F"/>
    <w:rsid w:val="00963057"/>
    <w:rsid w:val="00963D6F"/>
    <w:rsid w:val="0096650E"/>
    <w:rsid w:val="009672FE"/>
    <w:rsid w:val="009708DE"/>
    <w:rsid w:val="00970C8C"/>
    <w:rsid w:val="009715D7"/>
    <w:rsid w:val="009717E2"/>
    <w:rsid w:val="00971CE1"/>
    <w:rsid w:val="009726B7"/>
    <w:rsid w:val="009728E3"/>
    <w:rsid w:val="00972949"/>
    <w:rsid w:val="00972A21"/>
    <w:rsid w:val="009730C8"/>
    <w:rsid w:val="00973621"/>
    <w:rsid w:val="00973A72"/>
    <w:rsid w:val="00974ADD"/>
    <w:rsid w:val="00974F02"/>
    <w:rsid w:val="00975C10"/>
    <w:rsid w:val="00976B96"/>
    <w:rsid w:val="00977BC3"/>
    <w:rsid w:val="00980047"/>
    <w:rsid w:val="00981496"/>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233C"/>
    <w:rsid w:val="009A31D5"/>
    <w:rsid w:val="009A4733"/>
    <w:rsid w:val="009A4F9C"/>
    <w:rsid w:val="009A7227"/>
    <w:rsid w:val="009A74FC"/>
    <w:rsid w:val="009B0525"/>
    <w:rsid w:val="009B2445"/>
    <w:rsid w:val="009B31B5"/>
    <w:rsid w:val="009B56E7"/>
    <w:rsid w:val="009B5B91"/>
    <w:rsid w:val="009B6F27"/>
    <w:rsid w:val="009B7D9A"/>
    <w:rsid w:val="009C13FE"/>
    <w:rsid w:val="009C1DAF"/>
    <w:rsid w:val="009C3030"/>
    <w:rsid w:val="009C314B"/>
    <w:rsid w:val="009C36F9"/>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1CA9"/>
    <w:rsid w:val="009E4692"/>
    <w:rsid w:val="009E5721"/>
    <w:rsid w:val="009E614B"/>
    <w:rsid w:val="009E6B4A"/>
    <w:rsid w:val="009E6B5D"/>
    <w:rsid w:val="009E72CB"/>
    <w:rsid w:val="009E7795"/>
    <w:rsid w:val="009E7E19"/>
    <w:rsid w:val="009F202D"/>
    <w:rsid w:val="009F2DA1"/>
    <w:rsid w:val="009F3B33"/>
    <w:rsid w:val="009F42EB"/>
    <w:rsid w:val="009F46A3"/>
    <w:rsid w:val="009F5A2C"/>
    <w:rsid w:val="009F6444"/>
    <w:rsid w:val="009F7A07"/>
    <w:rsid w:val="00A0007C"/>
    <w:rsid w:val="00A00A9E"/>
    <w:rsid w:val="00A00EDC"/>
    <w:rsid w:val="00A01F22"/>
    <w:rsid w:val="00A01F5A"/>
    <w:rsid w:val="00A021AA"/>
    <w:rsid w:val="00A02920"/>
    <w:rsid w:val="00A0417D"/>
    <w:rsid w:val="00A041EB"/>
    <w:rsid w:val="00A0500F"/>
    <w:rsid w:val="00A06821"/>
    <w:rsid w:val="00A06FC1"/>
    <w:rsid w:val="00A10AEF"/>
    <w:rsid w:val="00A11FFC"/>
    <w:rsid w:val="00A12553"/>
    <w:rsid w:val="00A12B7E"/>
    <w:rsid w:val="00A14622"/>
    <w:rsid w:val="00A14822"/>
    <w:rsid w:val="00A14A25"/>
    <w:rsid w:val="00A1580F"/>
    <w:rsid w:val="00A15832"/>
    <w:rsid w:val="00A16363"/>
    <w:rsid w:val="00A1666A"/>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F4"/>
    <w:rsid w:val="00A307B8"/>
    <w:rsid w:val="00A30E9D"/>
    <w:rsid w:val="00A312E1"/>
    <w:rsid w:val="00A3148C"/>
    <w:rsid w:val="00A32022"/>
    <w:rsid w:val="00A3231E"/>
    <w:rsid w:val="00A32588"/>
    <w:rsid w:val="00A32F79"/>
    <w:rsid w:val="00A32FA0"/>
    <w:rsid w:val="00A33681"/>
    <w:rsid w:val="00A33E87"/>
    <w:rsid w:val="00A35E66"/>
    <w:rsid w:val="00A35E94"/>
    <w:rsid w:val="00A35FB7"/>
    <w:rsid w:val="00A36140"/>
    <w:rsid w:val="00A371BF"/>
    <w:rsid w:val="00A37961"/>
    <w:rsid w:val="00A40013"/>
    <w:rsid w:val="00A406B4"/>
    <w:rsid w:val="00A40BA8"/>
    <w:rsid w:val="00A43E33"/>
    <w:rsid w:val="00A43E86"/>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2AB"/>
    <w:rsid w:val="00A55498"/>
    <w:rsid w:val="00A5615B"/>
    <w:rsid w:val="00A56512"/>
    <w:rsid w:val="00A56B00"/>
    <w:rsid w:val="00A57258"/>
    <w:rsid w:val="00A57779"/>
    <w:rsid w:val="00A60BBD"/>
    <w:rsid w:val="00A60EC1"/>
    <w:rsid w:val="00A6358D"/>
    <w:rsid w:val="00A64052"/>
    <w:rsid w:val="00A655A5"/>
    <w:rsid w:val="00A65DFC"/>
    <w:rsid w:val="00A66E35"/>
    <w:rsid w:val="00A66E66"/>
    <w:rsid w:val="00A67434"/>
    <w:rsid w:val="00A70107"/>
    <w:rsid w:val="00A72353"/>
    <w:rsid w:val="00A73F42"/>
    <w:rsid w:val="00A76397"/>
    <w:rsid w:val="00A76C55"/>
    <w:rsid w:val="00A76D2E"/>
    <w:rsid w:val="00A8019D"/>
    <w:rsid w:val="00A80201"/>
    <w:rsid w:val="00A80628"/>
    <w:rsid w:val="00A808A9"/>
    <w:rsid w:val="00A8288C"/>
    <w:rsid w:val="00A840F7"/>
    <w:rsid w:val="00A84575"/>
    <w:rsid w:val="00A8473C"/>
    <w:rsid w:val="00A855A2"/>
    <w:rsid w:val="00A87CDC"/>
    <w:rsid w:val="00A9087A"/>
    <w:rsid w:val="00A915D0"/>
    <w:rsid w:val="00A916AA"/>
    <w:rsid w:val="00A91DDE"/>
    <w:rsid w:val="00A92B4F"/>
    <w:rsid w:val="00A92EA2"/>
    <w:rsid w:val="00A9349F"/>
    <w:rsid w:val="00A93A69"/>
    <w:rsid w:val="00A95D5C"/>
    <w:rsid w:val="00A97049"/>
    <w:rsid w:val="00A9744B"/>
    <w:rsid w:val="00A97DDF"/>
    <w:rsid w:val="00AA031D"/>
    <w:rsid w:val="00AA0F93"/>
    <w:rsid w:val="00AA2737"/>
    <w:rsid w:val="00AA2959"/>
    <w:rsid w:val="00AA2F65"/>
    <w:rsid w:val="00AA36B0"/>
    <w:rsid w:val="00AA4279"/>
    <w:rsid w:val="00AA4DDB"/>
    <w:rsid w:val="00AA4ED2"/>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5794"/>
    <w:rsid w:val="00AB5B5F"/>
    <w:rsid w:val="00AC0D85"/>
    <w:rsid w:val="00AC25E2"/>
    <w:rsid w:val="00AC2A13"/>
    <w:rsid w:val="00AC435E"/>
    <w:rsid w:val="00AC44CE"/>
    <w:rsid w:val="00AC4F0D"/>
    <w:rsid w:val="00AC6917"/>
    <w:rsid w:val="00AC741F"/>
    <w:rsid w:val="00AD07E6"/>
    <w:rsid w:val="00AD0ABB"/>
    <w:rsid w:val="00AD25CC"/>
    <w:rsid w:val="00AD2787"/>
    <w:rsid w:val="00AD3082"/>
    <w:rsid w:val="00AD45F0"/>
    <w:rsid w:val="00AD4AC4"/>
    <w:rsid w:val="00AD60EE"/>
    <w:rsid w:val="00AD6879"/>
    <w:rsid w:val="00AE1846"/>
    <w:rsid w:val="00AE22CA"/>
    <w:rsid w:val="00AE38E8"/>
    <w:rsid w:val="00AE3A57"/>
    <w:rsid w:val="00AE45CF"/>
    <w:rsid w:val="00AE493B"/>
    <w:rsid w:val="00AE60C3"/>
    <w:rsid w:val="00AE7DBB"/>
    <w:rsid w:val="00AF005C"/>
    <w:rsid w:val="00AF144E"/>
    <w:rsid w:val="00AF2242"/>
    <w:rsid w:val="00AF33E3"/>
    <w:rsid w:val="00AF4B98"/>
    <w:rsid w:val="00AF5DD9"/>
    <w:rsid w:val="00B00877"/>
    <w:rsid w:val="00B00CEC"/>
    <w:rsid w:val="00B03382"/>
    <w:rsid w:val="00B0372B"/>
    <w:rsid w:val="00B03BA9"/>
    <w:rsid w:val="00B03D62"/>
    <w:rsid w:val="00B0411A"/>
    <w:rsid w:val="00B0418E"/>
    <w:rsid w:val="00B04269"/>
    <w:rsid w:val="00B043B6"/>
    <w:rsid w:val="00B04ADB"/>
    <w:rsid w:val="00B07256"/>
    <w:rsid w:val="00B072A0"/>
    <w:rsid w:val="00B078AC"/>
    <w:rsid w:val="00B07CDB"/>
    <w:rsid w:val="00B1057B"/>
    <w:rsid w:val="00B11012"/>
    <w:rsid w:val="00B12182"/>
    <w:rsid w:val="00B13528"/>
    <w:rsid w:val="00B141A4"/>
    <w:rsid w:val="00B14896"/>
    <w:rsid w:val="00B157B7"/>
    <w:rsid w:val="00B15F65"/>
    <w:rsid w:val="00B17CEE"/>
    <w:rsid w:val="00B17FC7"/>
    <w:rsid w:val="00B2010D"/>
    <w:rsid w:val="00B20CD6"/>
    <w:rsid w:val="00B214C0"/>
    <w:rsid w:val="00B218A6"/>
    <w:rsid w:val="00B22212"/>
    <w:rsid w:val="00B230DF"/>
    <w:rsid w:val="00B23163"/>
    <w:rsid w:val="00B23948"/>
    <w:rsid w:val="00B23D78"/>
    <w:rsid w:val="00B24421"/>
    <w:rsid w:val="00B249E9"/>
    <w:rsid w:val="00B24A0D"/>
    <w:rsid w:val="00B262DE"/>
    <w:rsid w:val="00B26947"/>
    <w:rsid w:val="00B26A9F"/>
    <w:rsid w:val="00B26B00"/>
    <w:rsid w:val="00B317A1"/>
    <w:rsid w:val="00B321A9"/>
    <w:rsid w:val="00B33E8C"/>
    <w:rsid w:val="00B347D3"/>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6DA"/>
    <w:rsid w:val="00B459C9"/>
    <w:rsid w:val="00B478E8"/>
    <w:rsid w:val="00B50237"/>
    <w:rsid w:val="00B50307"/>
    <w:rsid w:val="00B50AEF"/>
    <w:rsid w:val="00B51E99"/>
    <w:rsid w:val="00B52217"/>
    <w:rsid w:val="00B52B9F"/>
    <w:rsid w:val="00B52DFF"/>
    <w:rsid w:val="00B532B2"/>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B8F"/>
    <w:rsid w:val="00B67414"/>
    <w:rsid w:val="00B701C1"/>
    <w:rsid w:val="00B71EA5"/>
    <w:rsid w:val="00B725D5"/>
    <w:rsid w:val="00B72824"/>
    <w:rsid w:val="00B73C51"/>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411C"/>
    <w:rsid w:val="00B8498C"/>
    <w:rsid w:val="00B84AA8"/>
    <w:rsid w:val="00B8555B"/>
    <w:rsid w:val="00B85D2C"/>
    <w:rsid w:val="00B86575"/>
    <w:rsid w:val="00B86B82"/>
    <w:rsid w:val="00B86F58"/>
    <w:rsid w:val="00B906D5"/>
    <w:rsid w:val="00B92195"/>
    <w:rsid w:val="00B9248E"/>
    <w:rsid w:val="00B92A09"/>
    <w:rsid w:val="00B935D8"/>
    <w:rsid w:val="00B969B5"/>
    <w:rsid w:val="00B96CF3"/>
    <w:rsid w:val="00B97221"/>
    <w:rsid w:val="00B972F0"/>
    <w:rsid w:val="00BA1109"/>
    <w:rsid w:val="00BA1B14"/>
    <w:rsid w:val="00BA217E"/>
    <w:rsid w:val="00BA2896"/>
    <w:rsid w:val="00BA30DF"/>
    <w:rsid w:val="00BA3F9D"/>
    <w:rsid w:val="00BA47D5"/>
    <w:rsid w:val="00BA6293"/>
    <w:rsid w:val="00BA6D99"/>
    <w:rsid w:val="00BA6ED7"/>
    <w:rsid w:val="00BB186C"/>
    <w:rsid w:val="00BB1E43"/>
    <w:rsid w:val="00BB2374"/>
    <w:rsid w:val="00BB2D33"/>
    <w:rsid w:val="00BB358F"/>
    <w:rsid w:val="00BB3C37"/>
    <w:rsid w:val="00BB3FA9"/>
    <w:rsid w:val="00BB67E7"/>
    <w:rsid w:val="00BB73AF"/>
    <w:rsid w:val="00BB7D2D"/>
    <w:rsid w:val="00BC1489"/>
    <w:rsid w:val="00BC1EC6"/>
    <w:rsid w:val="00BC21AD"/>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C09"/>
    <w:rsid w:val="00BE091E"/>
    <w:rsid w:val="00BE0CD1"/>
    <w:rsid w:val="00BE1F52"/>
    <w:rsid w:val="00BE27B3"/>
    <w:rsid w:val="00BE27C1"/>
    <w:rsid w:val="00BE27D8"/>
    <w:rsid w:val="00BE2997"/>
    <w:rsid w:val="00BE33BA"/>
    <w:rsid w:val="00BE4076"/>
    <w:rsid w:val="00BE4412"/>
    <w:rsid w:val="00BE6F4D"/>
    <w:rsid w:val="00BE744E"/>
    <w:rsid w:val="00BE7C2B"/>
    <w:rsid w:val="00BF0126"/>
    <w:rsid w:val="00BF0DFD"/>
    <w:rsid w:val="00BF2AC6"/>
    <w:rsid w:val="00BF2E8C"/>
    <w:rsid w:val="00BF3390"/>
    <w:rsid w:val="00BF35AF"/>
    <w:rsid w:val="00BF47D0"/>
    <w:rsid w:val="00BF47D1"/>
    <w:rsid w:val="00BF4902"/>
    <w:rsid w:val="00BF4C08"/>
    <w:rsid w:val="00BF4FB7"/>
    <w:rsid w:val="00BF6923"/>
    <w:rsid w:val="00BF6961"/>
    <w:rsid w:val="00BF70B0"/>
    <w:rsid w:val="00BF786C"/>
    <w:rsid w:val="00C00372"/>
    <w:rsid w:val="00C01168"/>
    <w:rsid w:val="00C01377"/>
    <w:rsid w:val="00C01C0C"/>
    <w:rsid w:val="00C021F6"/>
    <w:rsid w:val="00C04159"/>
    <w:rsid w:val="00C04787"/>
    <w:rsid w:val="00C04DAB"/>
    <w:rsid w:val="00C05AB6"/>
    <w:rsid w:val="00C075FE"/>
    <w:rsid w:val="00C108DF"/>
    <w:rsid w:val="00C117F4"/>
    <w:rsid w:val="00C11BC4"/>
    <w:rsid w:val="00C11FA1"/>
    <w:rsid w:val="00C17FAB"/>
    <w:rsid w:val="00C20D30"/>
    <w:rsid w:val="00C21794"/>
    <w:rsid w:val="00C22271"/>
    <w:rsid w:val="00C22D34"/>
    <w:rsid w:val="00C22FD9"/>
    <w:rsid w:val="00C2309D"/>
    <w:rsid w:val="00C24EA4"/>
    <w:rsid w:val="00C24EC9"/>
    <w:rsid w:val="00C250D0"/>
    <w:rsid w:val="00C25529"/>
    <w:rsid w:val="00C3143B"/>
    <w:rsid w:val="00C3278C"/>
    <w:rsid w:val="00C33508"/>
    <w:rsid w:val="00C33D94"/>
    <w:rsid w:val="00C34828"/>
    <w:rsid w:val="00C3530F"/>
    <w:rsid w:val="00C36D0E"/>
    <w:rsid w:val="00C371BC"/>
    <w:rsid w:val="00C37BFE"/>
    <w:rsid w:val="00C37C8C"/>
    <w:rsid w:val="00C37F92"/>
    <w:rsid w:val="00C4116F"/>
    <w:rsid w:val="00C41CA2"/>
    <w:rsid w:val="00C429DD"/>
    <w:rsid w:val="00C43BF7"/>
    <w:rsid w:val="00C44582"/>
    <w:rsid w:val="00C44799"/>
    <w:rsid w:val="00C45A06"/>
    <w:rsid w:val="00C463B8"/>
    <w:rsid w:val="00C47107"/>
    <w:rsid w:val="00C4728C"/>
    <w:rsid w:val="00C47C16"/>
    <w:rsid w:val="00C50CE2"/>
    <w:rsid w:val="00C50E7F"/>
    <w:rsid w:val="00C512D2"/>
    <w:rsid w:val="00C51429"/>
    <w:rsid w:val="00C55905"/>
    <w:rsid w:val="00C566C3"/>
    <w:rsid w:val="00C56F6C"/>
    <w:rsid w:val="00C57314"/>
    <w:rsid w:val="00C57A18"/>
    <w:rsid w:val="00C608C8"/>
    <w:rsid w:val="00C6122B"/>
    <w:rsid w:val="00C63238"/>
    <w:rsid w:val="00C63E58"/>
    <w:rsid w:val="00C640DC"/>
    <w:rsid w:val="00C646F9"/>
    <w:rsid w:val="00C65176"/>
    <w:rsid w:val="00C65495"/>
    <w:rsid w:val="00C6549C"/>
    <w:rsid w:val="00C66870"/>
    <w:rsid w:val="00C66FB2"/>
    <w:rsid w:val="00C67C99"/>
    <w:rsid w:val="00C702CF"/>
    <w:rsid w:val="00C713A9"/>
    <w:rsid w:val="00C71E77"/>
    <w:rsid w:val="00C72D77"/>
    <w:rsid w:val="00C73987"/>
    <w:rsid w:val="00C743E0"/>
    <w:rsid w:val="00C7446D"/>
    <w:rsid w:val="00C76D71"/>
    <w:rsid w:val="00C77353"/>
    <w:rsid w:val="00C774B5"/>
    <w:rsid w:val="00C77DD3"/>
    <w:rsid w:val="00C77DFE"/>
    <w:rsid w:val="00C83D1A"/>
    <w:rsid w:val="00C84045"/>
    <w:rsid w:val="00C8466D"/>
    <w:rsid w:val="00C84686"/>
    <w:rsid w:val="00C84FA2"/>
    <w:rsid w:val="00C85684"/>
    <w:rsid w:val="00C85BF2"/>
    <w:rsid w:val="00C85E3C"/>
    <w:rsid w:val="00C87032"/>
    <w:rsid w:val="00C87263"/>
    <w:rsid w:val="00C8784D"/>
    <w:rsid w:val="00C87D30"/>
    <w:rsid w:val="00C900DC"/>
    <w:rsid w:val="00C90304"/>
    <w:rsid w:val="00C914F1"/>
    <w:rsid w:val="00C91CE3"/>
    <w:rsid w:val="00C923C6"/>
    <w:rsid w:val="00C93547"/>
    <w:rsid w:val="00C938E1"/>
    <w:rsid w:val="00C93B8B"/>
    <w:rsid w:val="00C94A16"/>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6A04"/>
    <w:rsid w:val="00CB74F9"/>
    <w:rsid w:val="00CB7B30"/>
    <w:rsid w:val="00CB7D4C"/>
    <w:rsid w:val="00CC1B0E"/>
    <w:rsid w:val="00CC2089"/>
    <w:rsid w:val="00CC36AC"/>
    <w:rsid w:val="00CC4050"/>
    <w:rsid w:val="00CC4C2D"/>
    <w:rsid w:val="00CC4C62"/>
    <w:rsid w:val="00CC4C92"/>
    <w:rsid w:val="00CC6006"/>
    <w:rsid w:val="00CC6341"/>
    <w:rsid w:val="00CC69D1"/>
    <w:rsid w:val="00CC7686"/>
    <w:rsid w:val="00CD0946"/>
    <w:rsid w:val="00CD1CDC"/>
    <w:rsid w:val="00CD2CC9"/>
    <w:rsid w:val="00CD3B02"/>
    <w:rsid w:val="00CD3D96"/>
    <w:rsid w:val="00CD3F10"/>
    <w:rsid w:val="00CD4F77"/>
    <w:rsid w:val="00CD540C"/>
    <w:rsid w:val="00CD628C"/>
    <w:rsid w:val="00CD63A6"/>
    <w:rsid w:val="00CD6EB7"/>
    <w:rsid w:val="00CE01BD"/>
    <w:rsid w:val="00CE04B4"/>
    <w:rsid w:val="00CE071C"/>
    <w:rsid w:val="00CE1E9B"/>
    <w:rsid w:val="00CE26B4"/>
    <w:rsid w:val="00CE26CD"/>
    <w:rsid w:val="00CE2AAA"/>
    <w:rsid w:val="00CE43C6"/>
    <w:rsid w:val="00CE4D07"/>
    <w:rsid w:val="00CE4F10"/>
    <w:rsid w:val="00CE5F0D"/>
    <w:rsid w:val="00CE612F"/>
    <w:rsid w:val="00CE6AED"/>
    <w:rsid w:val="00CE6E5B"/>
    <w:rsid w:val="00CE7C18"/>
    <w:rsid w:val="00CE7E91"/>
    <w:rsid w:val="00CF121B"/>
    <w:rsid w:val="00CF1B4A"/>
    <w:rsid w:val="00CF3A92"/>
    <w:rsid w:val="00CF3D50"/>
    <w:rsid w:val="00CF5A09"/>
    <w:rsid w:val="00CF66FB"/>
    <w:rsid w:val="00CF72AE"/>
    <w:rsid w:val="00CF7D4D"/>
    <w:rsid w:val="00D00087"/>
    <w:rsid w:val="00D01D28"/>
    <w:rsid w:val="00D01E63"/>
    <w:rsid w:val="00D026FE"/>
    <w:rsid w:val="00D0282A"/>
    <w:rsid w:val="00D04FF2"/>
    <w:rsid w:val="00D06113"/>
    <w:rsid w:val="00D06665"/>
    <w:rsid w:val="00D073BE"/>
    <w:rsid w:val="00D10E85"/>
    <w:rsid w:val="00D12003"/>
    <w:rsid w:val="00D122EA"/>
    <w:rsid w:val="00D12CE8"/>
    <w:rsid w:val="00D13354"/>
    <w:rsid w:val="00D154C4"/>
    <w:rsid w:val="00D1576C"/>
    <w:rsid w:val="00D161CC"/>
    <w:rsid w:val="00D174F9"/>
    <w:rsid w:val="00D17F46"/>
    <w:rsid w:val="00D2068C"/>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35D9E"/>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7E1"/>
    <w:rsid w:val="00D46FCB"/>
    <w:rsid w:val="00D47243"/>
    <w:rsid w:val="00D47654"/>
    <w:rsid w:val="00D505F9"/>
    <w:rsid w:val="00D51BE9"/>
    <w:rsid w:val="00D53388"/>
    <w:rsid w:val="00D55503"/>
    <w:rsid w:val="00D55C64"/>
    <w:rsid w:val="00D56557"/>
    <w:rsid w:val="00D571C0"/>
    <w:rsid w:val="00D574E9"/>
    <w:rsid w:val="00D57C72"/>
    <w:rsid w:val="00D600C3"/>
    <w:rsid w:val="00D6098B"/>
    <w:rsid w:val="00D60EA5"/>
    <w:rsid w:val="00D614F5"/>
    <w:rsid w:val="00D61D87"/>
    <w:rsid w:val="00D61D95"/>
    <w:rsid w:val="00D621D1"/>
    <w:rsid w:val="00D6239E"/>
    <w:rsid w:val="00D63152"/>
    <w:rsid w:val="00D65165"/>
    <w:rsid w:val="00D65F5F"/>
    <w:rsid w:val="00D661A7"/>
    <w:rsid w:val="00D666D7"/>
    <w:rsid w:val="00D66A08"/>
    <w:rsid w:val="00D673EB"/>
    <w:rsid w:val="00D705A1"/>
    <w:rsid w:val="00D70847"/>
    <w:rsid w:val="00D71778"/>
    <w:rsid w:val="00D719E9"/>
    <w:rsid w:val="00D71B36"/>
    <w:rsid w:val="00D7267F"/>
    <w:rsid w:val="00D72AF9"/>
    <w:rsid w:val="00D73591"/>
    <w:rsid w:val="00D73BCC"/>
    <w:rsid w:val="00D7525D"/>
    <w:rsid w:val="00D76533"/>
    <w:rsid w:val="00D77B17"/>
    <w:rsid w:val="00D77BCD"/>
    <w:rsid w:val="00D80CA8"/>
    <w:rsid w:val="00D81888"/>
    <w:rsid w:val="00D81942"/>
    <w:rsid w:val="00D83471"/>
    <w:rsid w:val="00D836EC"/>
    <w:rsid w:val="00D8409D"/>
    <w:rsid w:val="00D87D0B"/>
    <w:rsid w:val="00D87EBD"/>
    <w:rsid w:val="00D90A48"/>
    <w:rsid w:val="00D914E6"/>
    <w:rsid w:val="00D91CC4"/>
    <w:rsid w:val="00D93423"/>
    <w:rsid w:val="00D9455C"/>
    <w:rsid w:val="00D946CB"/>
    <w:rsid w:val="00D96461"/>
    <w:rsid w:val="00D966AE"/>
    <w:rsid w:val="00D97164"/>
    <w:rsid w:val="00D97287"/>
    <w:rsid w:val="00D97776"/>
    <w:rsid w:val="00D97A6A"/>
    <w:rsid w:val="00DA06D8"/>
    <w:rsid w:val="00DA124F"/>
    <w:rsid w:val="00DA1CBF"/>
    <w:rsid w:val="00DA1EF8"/>
    <w:rsid w:val="00DA23B9"/>
    <w:rsid w:val="00DA28AE"/>
    <w:rsid w:val="00DA32ED"/>
    <w:rsid w:val="00DA3D47"/>
    <w:rsid w:val="00DA6492"/>
    <w:rsid w:val="00DA657A"/>
    <w:rsid w:val="00DA6FAA"/>
    <w:rsid w:val="00DA71EE"/>
    <w:rsid w:val="00DA7730"/>
    <w:rsid w:val="00DB08F4"/>
    <w:rsid w:val="00DB0D91"/>
    <w:rsid w:val="00DB1868"/>
    <w:rsid w:val="00DB18CA"/>
    <w:rsid w:val="00DB35A2"/>
    <w:rsid w:val="00DB4678"/>
    <w:rsid w:val="00DB53E7"/>
    <w:rsid w:val="00DB560E"/>
    <w:rsid w:val="00DB5A8E"/>
    <w:rsid w:val="00DB6668"/>
    <w:rsid w:val="00DB7C73"/>
    <w:rsid w:val="00DC1129"/>
    <w:rsid w:val="00DC1309"/>
    <w:rsid w:val="00DC165C"/>
    <w:rsid w:val="00DC222B"/>
    <w:rsid w:val="00DC2923"/>
    <w:rsid w:val="00DC38F7"/>
    <w:rsid w:val="00DC3DBA"/>
    <w:rsid w:val="00DC5E8E"/>
    <w:rsid w:val="00DC6156"/>
    <w:rsid w:val="00DC69D8"/>
    <w:rsid w:val="00DC6A24"/>
    <w:rsid w:val="00DC6F54"/>
    <w:rsid w:val="00DC74CE"/>
    <w:rsid w:val="00DD0132"/>
    <w:rsid w:val="00DD19F2"/>
    <w:rsid w:val="00DD1DDE"/>
    <w:rsid w:val="00DD31B6"/>
    <w:rsid w:val="00DD3C20"/>
    <w:rsid w:val="00DD514A"/>
    <w:rsid w:val="00DD5AFC"/>
    <w:rsid w:val="00DD63E7"/>
    <w:rsid w:val="00DD6568"/>
    <w:rsid w:val="00DD6C45"/>
    <w:rsid w:val="00DE0B83"/>
    <w:rsid w:val="00DE27B1"/>
    <w:rsid w:val="00DE2C2E"/>
    <w:rsid w:val="00DE2FE3"/>
    <w:rsid w:val="00DE3186"/>
    <w:rsid w:val="00DE3893"/>
    <w:rsid w:val="00DE5A29"/>
    <w:rsid w:val="00DE62A5"/>
    <w:rsid w:val="00DE6F56"/>
    <w:rsid w:val="00DF0568"/>
    <w:rsid w:val="00DF19E5"/>
    <w:rsid w:val="00DF1DB0"/>
    <w:rsid w:val="00DF2036"/>
    <w:rsid w:val="00DF3D5D"/>
    <w:rsid w:val="00DF3F01"/>
    <w:rsid w:val="00DF4C5B"/>
    <w:rsid w:val="00DF532D"/>
    <w:rsid w:val="00DF5BC2"/>
    <w:rsid w:val="00DF666C"/>
    <w:rsid w:val="00DF66C1"/>
    <w:rsid w:val="00DF73AB"/>
    <w:rsid w:val="00DF750C"/>
    <w:rsid w:val="00DF7955"/>
    <w:rsid w:val="00DF7DA8"/>
    <w:rsid w:val="00E00E31"/>
    <w:rsid w:val="00E01EB1"/>
    <w:rsid w:val="00E01EB8"/>
    <w:rsid w:val="00E02C88"/>
    <w:rsid w:val="00E02EEC"/>
    <w:rsid w:val="00E03E9C"/>
    <w:rsid w:val="00E04319"/>
    <w:rsid w:val="00E04BBC"/>
    <w:rsid w:val="00E05E06"/>
    <w:rsid w:val="00E05E9A"/>
    <w:rsid w:val="00E06ACB"/>
    <w:rsid w:val="00E07212"/>
    <w:rsid w:val="00E07726"/>
    <w:rsid w:val="00E10467"/>
    <w:rsid w:val="00E10580"/>
    <w:rsid w:val="00E10781"/>
    <w:rsid w:val="00E1080B"/>
    <w:rsid w:val="00E10997"/>
    <w:rsid w:val="00E113F1"/>
    <w:rsid w:val="00E11A19"/>
    <w:rsid w:val="00E11B38"/>
    <w:rsid w:val="00E1300D"/>
    <w:rsid w:val="00E1459C"/>
    <w:rsid w:val="00E14A55"/>
    <w:rsid w:val="00E1526E"/>
    <w:rsid w:val="00E167DC"/>
    <w:rsid w:val="00E16DD4"/>
    <w:rsid w:val="00E175AE"/>
    <w:rsid w:val="00E1792B"/>
    <w:rsid w:val="00E20634"/>
    <w:rsid w:val="00E20DFD"/>
    <w:rsid w:val="00E218B7"/>
    <w:rsid w:val="00E21D4E"/>
    <w:rsid w:val="00E23083"/>
    <w:rsid w:val="00E31FEE"/>
    <w:rsid w:val="00E3295D"/>
    <w:rsid w:val="00E32D60"/>
    <w:rsid w:val="00E33551"/>
    <w:rsid w:val="00E3431D"/>
    <w:rsid w:val="00E3468A"/>
    <w:rsid w:val="00E35516"/>
    <w:rsid w:val="00E35D3A"/>
    <w:rsid w:val="00E373E4"/>
    <w:rsid w:val="00E403EE"/>
    <w:rsid w:val="00E413D2"/>
    <w:rsid w:val="00E43742"/>
    <w:rsid w:val="00E44DD7"/>
    <w:rsid w:val="00E4608A"/>
    <w:rsid w:val="00E47153"/>
    <w:rsid w:val="00E50233"/>
    <w:rsid w:val="00E506FE"/>
    <w:rsid w:val="00E50B90"/>
    <w:rsid w:val="00E50C9A"/>
    <w:rsid w:val="00E50D21"/>
    <w:rsid w:val="00E52763"/>
    <w:rsid w:val="00E52A51"/>
    <w:rsid w:val="00E538CA"/>
    <w:rsid w:val="00E53D06"/>
    <w:rsid w:val="00E55A2A"/>
    <w:rsid w:val="00E56D18"/>
    <w:rsid w:val="00E57888"/>
    <w:rsid w:val="00E60F40"/>
    <w:rsid w:val="00E61B58"/>
    <w:rsid w:val="00E63CDA"/>
    <w:rsid w:val="00E65962"/>
    <w:rsid w:val="00E659AA"/>
    <w:rsid w:val="00E6615C"/>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AF8"/>
    <w:rsid w:val="00E83FD4"/>
    <w:rsid w:val="00E843CC"/>
    <w:rsid w:val="00E85A60"/>
    <w:rsid w:val="00E861F3"/>
    <w:rsid w:val="00E86F86"/>
    <w:rsid w:val="00E8701E"/>
    <w:rsid w:val="00E87279"/>
    <w:rsid w:val="00E90B7C"/>
    <w:rsid w:val="00E9114D"/>
    <w:rsid w:val="00E9127F"/>
    <w:rsid w:val="00E920F9"/>
    <w:rsid w:val="00E92BDC"/>
    <w:rsid w:val="00E92C20"/>
    <w:rsid w:val="00E930FA"/>
    <w:rsid w:val="00E94746"/>
    <w:rsid w:val="00EA0238"/>
    <w:rsid w:val="00EA0497"/>
    <w:rsid w:val="00EA085B"/>
    <w:rsid w:val="00EA0ED7"/>
    <w:rsid w:val="00EA2EEF"/>
    <w:rsid w:val="00EA2F98"/>
    <w:rsid w:val="00EA37C1"/>
    <w:rsid w:val="00EA422F"/>
    <w:rsid w:val="00EA48B6"/>
    <w:rsid w:val="00EA74D5"/>
    <w:rsid w:val="00EA77A1"/>
    <w:rsid w:val="00EA7EB6"/>
    <w:rsid w:val="00EB1AC9"/>
    <w:rsid w:val="00EB260D"/>
    <w:rsid w:val="00EB386B"/>
    <w:rsid w:val="00EB39D1"/>
    <w:rsid w:val="00EB3B8A"/>
    <w:rsid w:val="00EB56DA"/>
    <w:rsid w:val="00EB5FD4"/>
    <w:rsid w:val="00EB7533"/>
    <w:rsid w:val="00EB79E1"/>
    <w:rsid w:val="00EC531A"/>
    <w:rsid w:val="00EC6F2E"/>
    <w:rsid w:val="00EC790B"/>
    <w:rsid w:val="00EC7CBC"/>
    <w:rsid w:val="00ED00D1"/>
    <w:rsid w:val="00ED0E6A"/>
    <w:rsid w:val="00ED1B1E"/>
    <w:rsid w:val="00ED1F42"/>
    <w:rsid w:val="00ED3704"/>
    <w:rsid w:val="00ED45DA"/>
    <w:rsid w:val="00ED4A74"/>
    <w:rsid w:val="00ED4D92"/>
    <w:rsid w:val="00ED5959"/>
    <w:rsid w:val="00ED5B31"/>
    <w:rsid w:val="00ED6D49"/>
    <w:rsid w:val="00ED7973"/>
    <w:rsid w:val="00ED7E01"/>
    <w:rsid w:val="00EE0188"/>
    <w:rsid w:val="00EE0ECB"/>
    <w:rsid w:val="00EE3530"/>
    <w:rsid w:val="00EE3B49"/>
    <w:rsid w:val="00EE3D17"/>
    <w:rsid w:val="00EE4C6A"/>
    <w:rsid w:val="00EE60C2"/>
    <w:rsid w:val="00EE6744"/>
    <w:rsid w:val="00EF0E74"/>
    <w:rsid w:val="00EF1C09"/>
    <w:rsid w:val="00EF1DCA"/>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53B0"/>
    <w:rsid w:val="00F05B09"/>
    <w:rsid w:val="00F06AC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945"/>
    <w:rsid w:val="00F17F92"/>
    <w:rsid w:val="00F20531"/>
    <w:rsid w:val="00F20F8B"/>
    <w:rsid w:val="00F23466"/>
    <w:rsid w:val="00F2405E"/>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0DCD"/>
    <w:rsid w:val="00F413CE"/>
    <w:rsid w:val="00F41501"/>
    <w:rsid w:val="00F42D4C"/>
    <w:rsid w:val="00F44FB4"/>
    <w:rsid w:val="00F4538B"/>
    <w:rsid w:val="00F45612"/>
    <w:rsid w:val="00F45735"/>
    <w:rsid w:val="00F45FFB"/>
    <w:rsid w:val="00F46DF9"/>
    <w:rsid w:val="00F473A1"/>
    <w:rsid w:val="00F50A9F"/>
    <w:rsid w:val="00F51547"/>
    <w:rsid w:val="00F5353E"/>
    <w:rsid w:val="00F575BD"/>
    <w:rsid w:val="00F57C50"/>
    <w:rsid w:val="00F6276D"/>
    <w:rsid w:val="00F63021"/>
    <w:rsid w:val="00F63B5C"/>
    <w:rsid w:val="00F64BC3"/>
    <w:rsid w:val="00F65A65"/>
    <w:rsid w:val="00F660FD"/>
    <w:rsid w:val="00F6611D"/>
    <w:rsid w:val="00F6655D"/>
    <w:rsid w:val="00F667FE"/>
    <w:rsid w:val="00F66AB5"/>
    <w:rsid w:val="00F673E4"/>
    <w:rsid w:val="00F70737"/>
    <w:rsid w:val="00F714A2"/>
    <w:rsid w:val="00F71A88"/>
    <w:rsid w:val="00F71B3B"/>
    <w:rsid w:val="00F729A5"/>
    <w:rsid w:val="00F72A15"/>
    <w:rsid w:val="00F748E4"/>
    <w:rsid w:val="00F75348"/>
    <w:rsid w:val="00F7608F"/>
    <w:rsid w:val="00F7664A"/>
    <w:rsid w:val="00F767C6"/>
    <w:rsid w:val="00F77B50"/>
    <w:rsid w:val="00F804A5"/>
    <w:rsid w:val="00F813E9"/>
    <w:rsid w:val="00F81E1F"/>
    <w:rsid w:val="00F82692"/>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221"/>
    <w:rsid w:val="00F914F6"/>
    <w:rsid w:val="00F91583"/>
    <w:rsid w:val="00F91769"/>
    <w:rsid w:val="00F917A8"/>
    <w:rsid w:val="00F9285E"/>
    <w:rsid w:val="00F9313F"/>
    <w:rsid w:val="00F93834"/>
    <w:rsid w:val="00F94173"/>
    <w:rsid w:val="00F94F16"/>
    <w:rsid w:val="00F96CF9"/>
    <w:rsid w:val="00F97022"/>
    <w:rsid w:val="00F970BE"/>
    <w:rsid w:val="00F975C9"/>
    <w:rsid w:val="00F976F6"/>
    <w:rsid w:val="00FA022D"/>
    <w:rsid w:val="00FA0388"/>
    <w:rsid w:val="00FA04F6"/>
    <w:rsid w:val="00FA0B69"/>
    <w:rsid w:val="00FA16E6"/>
    <w:rsid w:val="00FA4346"/>
    <w:rsid w:val="00FA47E4"/>
    <w:rsid w:val="00FA4DF8"/>
    <w:rsid w:val="00FA5D54"/>
    <w:rsid w:val="00FA73EF"/>
    <w:rsid w:val="00FB1BCE"/>
    <w:rsid w:val="00FB1CB1"/>
    <w:rsid w:val="00FB1DC6"/>
    <w:rsid w:val="00FB1E59"/>
    <w:rsid w:val="00FB237F"/>
    <w:rsid w:val="00FB2717"/>
    <w:rsid w:val="00FB283B"/>
    <w:rsid w:val="00FB2D1D"/>
    <w:rsid w:val="00FB3081"/>
    <w:rsid w:val="00FB360D"/>
    <w:rsid w:val="00FB3E3D"/>
    <w:rsid w:val="00FB409C"/>
    <w:rsid w:val="00FB415A"/>
    <w:rsid w:val="00FB4758"/>
    <w:rsid w:val="00FB47D5"/>
    <w:rsid w:val="00FB4BAA"/>
    <w:rsid w:val="00FB5AB4"/>
    <w:rsid w:val="00FB68A1"/>
    <w:rsid w:val="00FB7EE4"/>
    <w:rsid w:val="00FC05A0"/>
    <w:rsid w:val="00FC0BF3"/>
    <w:rsid w:val="00FC2116"/>
    <w:rsid w:val="00FC27F6"/>
    <w:rsid w:val="00FC303F"/>
    <w:rsid w:val="00FC4967"/>
    <w:rsid w:val="00FC55F5"/>
    <w:rsid w:val="00FC65AB"/>
    <w:rsid w:val="00FC7581"/>
    <w:rsid w:val="00FC7D59"/>
    <w:rsid w:val="00FD1180"/>
    <w:rsid w:val="00FD4DD0"/>
    <w:rsid w:val="00FD511C"/>
    <w:rsid w:val="00FD5212"/>
    <w:rsid w:val="00FD73A0"/>
    <w:rsid w:val="00FD7810"/>
    <w:rsid w:val="00FD796D"/>
    <w:rsid w:val="00FD79AD"/>
    <w:rsid w:val="00FD7D7C"/>
    <w:rsid w:val="00FE0290"/>
    <w:rsid w:val="00FE2452"/>
    <w:rsid w:val="00FE2B09"/>
    <w:rsid w:val="00FE2E75"/>
    <w:rsid w:val="00FE3480"/>
    <w:rsid w:val="00FE3514"/>
    <w:rsid w:val="00FE480D"/>
    <w:rsid w:val="00FE4BF8"/>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6663"/>
    <w:rsid w:val="00FF7079"/>
    <w:rsid w:val="00FF76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7">
      <o:colormru v:ext="edit" colors="#001c52,#b6c400,#dc0000,maroon,#6cb07e,#2c90ce,#eed084,#c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styleId="ListParagraph">
    <w:name w:val="List Paragraph"/>
    <w:basedOn w:val="Normal"/>
    <w:uiPriority w:val="34"/>
    <w:qFormat/>
    <w:rsid w:val="00536D71"/>
    <w:pPr>
      <w:spacing w:after="200" w:line="276" w:lineRule="auto"/>
      <w:ind w:left="720"/>
      <w:contextualSpacing/>
    </w:pPr>
    <w:rPr>
      <w:rFonts w:ascii="Calibri" w:eastAsia="Calibri" w:hAnsi="Calibri"/>
      <w:szCs w:val="22"/>
      <w:lang w:eastAsia="en-US"/>
    </w:rPr>
  </w:style>
  <w:style w:type="character" w:styleId="FollowedHyperlink">
    <w:name w:val="FollowedHyperlink"/>
    <w:basedOn w:val="DefaultParagraphFont"/>
    <w:rsid w:val="004338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tabs>
        <w:tab w:val="num" w:pos="425"/>
      </w:tabs>
      <w:spacing w:before="120"/>
      <w:ind w:left="425" w:hanging="425"/>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tabs>
        <w:tab w:val="num" w:pos="720"/>
      </w:tabs>
      <w:spacing w:before="60"/>
      <w:ind w:left="720" w:hanging="72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0"/>
      </w:numPr>
      <w:tabs>
        <w:tab w:val="num" w:pos="709"/>
      </w:tabs>
      <w:spacing w:before="60"/>
      <w:ind w:left="709" w:hanging="284"/>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tabs>
        <w:tab w:val="num" w:pos="425"/>
      </w:tabs>
      <w:spacing w:before="120" w:line="280" w:lineRule="atLeast"/>
      <w:ind w:left="425" w:hanging="425"/>
      <w:jc w:val="both"/>
    </w:pPr>
    <w:rPr>
      <w:rFonts w:ascii="Arial" w:hAnsi="Arial"/>
      <w:color w:val="00408A"/>
      <w:sz w:val="21"/>
      <w:szCs w:val="21"/>
    </w:rPr>
  </w:style>
  <w:style w:type="paragraph" w:customStyle="1" w:styleId="SeekCommentBullet">
    <w:name w:val="Seek Comment Bullet"/>
    <w:basedOn w:val="RecommendationBullet"/>
    <w:rsid w:val="00424796"/>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spacing w:after="0" w:line="200" w:lineRule="atLeast"/>
      <w:ind w:left="1080" w:hanging="360"/>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tabs>
        <w:tab w:val="num" w:pos="720"/>
      </w:tabs>
      <w:spacing w:before="60"/>
      <w:ind w:left="720" w:hanging="720"/>
    </w:pPr>
  </w:style>
  <w:style w:type="paragraph" w:customStyle="1" w:styleId="FindingBullet">
    <w:name w:val="Finding Bullet"/>
    <w:basedOn w:val="RecommendationBullet"/>
    <w:rsid w:val="004E050F"/>
    <w:pPr>
      <w:tabs>
        <w:tab w:val="clear" w:pos="425"/>
        <w:tab w:val="num" w:pos="709"/>
      </w:tabs>
      <w:ind w:left="709" w:hanging="284"/>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tabs>
        <w:tab w:val="num" w:pos="227"/>
      </w:tabs>
      <w:spacing w:before="120" w:line="280" w:lineRule="atLeast"/>
      <w:ind w:left="227" w:hanging="227"/>
      <w:jc w:val="both"/>
    </w:pPr>
    <w:rPr>
      <w:rFonts w:ascii="Arial" w:hAnsi="Arial"/>
      <w:color w:val="00408A"/>
      <w:sz w:val="21"/>
      <w:szCs w:val="21"/>
    </w:rPr>
  </w:style>
  <w:style w:type="paragraph" w:customStyle="1" w:styleId="SeekCommentNumber">
    <w:name w:val="Seek Comment Number"/>
    <w:basedOn w:val="Normal"/>
    <w:next w:val="BodyText"/>
    <w:rsid w:val="00526E73"/>
    <w:pPr>
      <w:tabs>
        <w:tab w:val="num" w:pos="567"/>
      </w:tabs>
      <w:spacing w:before="120" w:line="280" w:lineRule="atLeast"/>
      <w:ind w:left="567" w:hanging="283"/>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webSettings.xml><?xml version="1.0" encoding="utf-8"?>
<w:webSettings xmlns:r="http://schemas.openxmlformats.org/officeDocument/2006/relationships" xmlns:w="http://schemas.openxmlformats.org/wordprocessingml/2006/main">
  <w:divs>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ipart.nsw.gov.au/Home/Industries/Local_Govt"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youtu.be/iMengew0TX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himali_ranasinghe@ipart.nsw.gov.a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part.nsw.gov.au/files/948b8fb1-2e6e-4647-b9d3-a10000a2552a/Local_Government_-_Council_Portal_User_Guide_-_November_2012.pdf" TargetMode="External"/><Relationship Id="rId4" Type="http://schemas.openxmlformats.org/officeDocument/2006/relationships/settings" Target="settings.xml"/><Relationship Id="rId9" Type="http://schemas.openxmlformats.org/officeDocument/2006/relationships/hyperlink" Target="http://www.ipart.nsw.gov.au/" TargetMode="External"/><Relationship Id="rId14" Type="http://schemas.openxmlformats.org/officeDocument/2006/relationships/header" Target="header4.xml"/><Relationship Id="rId22" Type="http://schemas.openxmlformats.org/officeDocument/2006/relationships/hyperlink" Target="http://youtu.be/TGakUpxyl9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197E-3030-4B05-8A42-BCF0A30E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Report.dotx</Template>
  <TotalTime>368</TotalTime>
  <Pages>35</Pages>
  <Words>9572</Words>
  <Characters>55405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64848</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sk04545</cp:lastModifiedBy>
  <cp:revision>28</cp:revision>
  <cp:lastPrinted>2015-02-18T21:22:00Z</cp:lastPrinted>
  <dcterms:created xsi:type="dcterms:W3CDTF">2015-02-17T00:09:00Z</dcterms:created>
  <dcterms:modified xsi:type="dcterms:W3CDTF">2015-02-19T02:28:00Z</dcterms:modified>
</cp:coreProperties>
</file>