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96" w:type="dxa"/>
        <w:tblInd w:w="1920" w:type="dxa"/>
        <w:tblLayout w:type="fixed"/>
        <w:tblLook w:val="01E0" w:firstRow="1" w:lastRow="1" w:firstColumn="1" w:lastColumn="1" w:noHBand="0" w:noVBand="0"/>
      </w:tblPr>
      <w:tblGrid>
        <w:gridCol w:w="7096"/>
      </w:tblGrid>
      <w:tr w:rsidR="00493377" w:rsidRPr="00B17EC1" w:rsidTr="00822536">
        <w:trPr>
          <w:cantSplit/>
          <w:trHeight w:hRule="exact" w:val="6691"/>
        </w:trPr>
        <w:tc>
          <w:tcPr>
            <w:tcW w:w="7096" w:type="dxa"/>
            <w:tcMar>
              <w:left w:w="0" w:type="dxa"/>
              <w:right w:w="0" w:type="dxa"/>
            </w:tcMar>
          </w:tcPr>
          <w:p w:rsidR="00493377" w:rsidRPr="00B17EC1" w:rsidRDefault="00913262">
            <w:pPr>
              <w:pStyle w:val="Title"/>
            </w:pPr>
            <w:bookmarkStart w:id="0" w:name="_GoBack"/>
            <w:bookmarkEnd w:id="0"/>
            <w:r w:rsidRPr="00B17EC1">
              <w:t>Special Variation Application Form</w:t>
            </w:r>
            <w:r w:rsidR="00B807B1" w:rsidRPr="00B17EC1">
              <w:t xml:space="preserve"> – Part B</w:t>
            </w:r>
          </w:p>
          <w:p w:rsidR="00493377" w:rsidRPr="00B17EC1" w:rsidRDefault="001B2CCD">
            <w:pPr>
              <w:pStyle w:val="Subtitle"/>
              <w:rPr>
                <w:color w:val="auto"/>
              </w:rPr>
            </w:pPr>
            <w:r>
              <w:rPr>
                <w:color w:val="auto"/>
              </w:rPr>
              <w:t>For applications for 2014/15</w:t>
            </w:r>
          </w:p>
          <w:p w:rsidR="00EA7F28" w:rsidRDefault="00EA7F28">
            <w:pPr>
              <w:pStyle w:val="Subtitle"/>
              <w:rPr>
                <w:color w:val="auto"/>
                <w:sz w:val="24"/>
                <w:szCs w:val="24"/>
              </w:rPr>
            </w:pPr>
          </w:p>
          <w:p w:rsidR="00EA7F28" w:rsidRDefault="00EA7F28">
            <w:pPr>
              <w:pStyle w:val="Subtitle"/>
              <w:rPr>
                <w:color w:val="auto"/>
                <w:sz w:val="24"/>
                <w:szCs w:val="24"/>
              </w:rPr>
            </w:pPr>
          </w:p>
          <w:p w:rsidR="00B019E9" w:rsidRPr="00973725" w:rsidRDefault="00973725">
            <w:pPr>
              <w:pStyle w:val="Subtitle"/>
              <w:rPr>
                <w:color w:val="auto"/>
                <w:sz w:val="24"/>
                <w:szCs w:val="24"/>
              </w:rPr>
            </w:pPr>
            <w:r w:rsidRPr="00973725">
              <w:rPr>
                <w:color w:val="auto"/>
                <w:sz w:val="24"/>
                <w:szCs w:val="24"/>
              </w:rPr>
              <w:t xml:space="preserve">Issued </w:t>
            </w:r>
            <w:r w:rsidR="00CE6BFF">
              <w:rPr>
                <w:color w:val="auto"/>
                <w:sz w:val="24"/>
                <w:szCs w:val="24"/>
              </w:rPr>
              <w:t>Octo</w:t>
            </w:r>
            <w:r w:rsidRPr="00973725">
              <w:rPr>
                <w:color w:val="auto"/>
                <w:sz w:val="24"/>
                <w:szCs w:val="24"/>
              </w:rPr>
              <w:t>ber 2013</w:t>
            </w:r>
          </w:p>
          <w:p w:rsidR="00B019E9" w:rsidRPr="00B17EC1" w:rsidRDefault="00B019E9">
            <w:pPr>
              <w:pStyle w:val="Subtitle"/>
              <w:rPr>
                <w:b w:val="0"/>
                <w:color w:val="auto"/>
              </w:rPr>
            </w:pPr>
          </w:p>
        </w:tc>
      </w:tr>
      <w:tr w:rsidR="00493377" w:rsidRPr="00B17EC1" w:rsidTr="00822536">
        <w:trPr>
          <w:cantSplit/>
          <w:trHeight w:val="5103"/>
        </w:trPr>
        <w:tc>
          <w:tcPr>
            <w:tcW w:w="7096" w:type="dxa"/>
            <w:tcMar>
              <w:left w:w="0" w:type="dxa"/>
              <w:right w:w="0" w:type="dxa"/>
            </w:tcMar>
          </w:tcPr>
          <w:p w:rsidR="00493377" w:rsidRPr="00B17EC1" w:rsidRDefault="005E337C">
            <w:pPr>
              <w:pStyle w:val="Report"/>
            </w:pPr>
            <w:r>
              <w:t>BLAYNEY SHIRE COUNCIL</w:t>
            </w:r>
          </w:p>
          <w:p w:rsidR="00493377" w:rsidRPr="00B17EC1" w:rsidRDefault="00E57DC5">
            <w:pPr>
              <w:pStyle w:val="Date"/>
            </w:pPr>
            <w:r w:rsidRPr="00B17EC1">
              <w:t>Date Submitted to IPART:</w:t>
            </w:r>
          </w:p>
          <w:p w:rsidR="00B019E9" w:rsidRPr="00B17EC1" w:rsidRDefault="00B019E9">
            <w:pPr>
              <w:pStyle w:val="Date"/>
            </w:pPr>
            <w:r w:rsidRPr="00B17EC1">
              <w:t>Council Contact Person:</w:t>
            </w:r>
            <w:r w:rsidR="005E337C">
              <w:t xml:space="preserve"> Anton </w:t>
            </w:r>
            <w:proofErr w:type="spellStart"/>
            <w:r w:rsidR="005E337C">
              <w:t>Franze</w:t>
            </w:r>
            <w:proofErr w:type="spellEnd"/>
          </w:p>
          <w:p w:rsidR="00B019E9" w:rsidRPr="00B17EC1" w:rsidRDefault="00B019E9">
            <w:pPr>
              <w:pStyle w:val="Date"/>
            </w:pPr>
            <w:r w:rsidRPr="00B17EC1">
              <w:t>Council Contact Phone:</w:t>
            </w:r>
            <w:r w:rsidR="005E337C">
              <w:t xml:space="preserve"> (02) 6368 2104</w:t>
            </w:r>
          </w:p>
          <w:p w:rsidR="00B019E9" w:rsidRPr="00B17EC1" w:rsidRDefault="00B019E9">
            <w:pPr>
              <w:pStyle w:val="Date"/>
            </w:pPr>
            <w:r w:rsidRPr="00B17EC1">
              <w:t>Council Contact Email:</w:t>
            </w:r>
            <w:r w:rsidR="005E337C">
              <w:t xml:space="preserve"> council@blayney.nsw.gov.au </w:t>
            </w:r>
          </w:p>
        </w:tc>
      </w:tr>
    </w:tbl>
    <w:p w:rsidR="00493377" w:rsidRPr="00B17EC1"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Pr="00B17EC1" w:rsidRDefault="00BD6C09" w:rsidP="00DF3F01">
      <w:pPr>
        <w:sectPr w:rsidR="00BD6C09" w:rsidRPr="00B17EC1" w:rsidSect="005E2D3A">
          <w:headerReference w:type="default" r:id="rId9"/>
          <w:pgSz w:w="11907" w:h="16840" w:code="9"/>
          <w:pgMar w:top="2268" w:right="1701" w:bottom="1418" w:left="1701" w:header="1134" w:footer="284" w:gutter="567"/>
          <w:pgNumType w:fmt="lowerRoman"/>
          <w:cols w:space="708"/>
          <w:formProt w:val="0"/>
          <w:docGrid w:linePitch="360"/>
        </w:sectPr>
      </w:pPr>
    </w:p>
    <w:p w:rsidR="00493377" w:rsidRPr="00B17EC1" w:rsidRDefault="00493377">
      <w:pPr>
        <w:pStyle w:val="BodytextIPART"/>
        <w:spacing w:before="2600"/>
      </w:pPr>
      <w:r w:rsidRPr="00B17EC1">
        <w:lastRenderedPageBreak/>
        <w:t xml:space="preserve">© Independent Pricing and Regulatory Tribunal of New South Wales </w:t>
      </w:r>
      <w:r w:rsidR="00600721">
        <w:t>2013</w:t>
      </w:r>
    </w:p>
    <w:p w:rsidR="00493377" w:rsidRPr="00B17EC1" w:rsidRDefault="00493377">
      <w:pPr>
        <w:pStyle w:val="BodytextIPART"/>
        <w:spacing w:before="80"/>
        <w:rPr>
          <w:spacing w:val="-2"/>
        </w:rPr>
      </w:pPr>
      <w:r w:rsidRPr="00B17EC1">
        <w:rPr>
          <w:spacing w:val="-2"/>
        </w:rPr>
        <w:t xml:space="preserve">This work is copyright. The </w:t>
      </w:r>
      <w:r w:rsidRPr="00B17EC1">
        <w:rPr>
          <w:i/>
          <w:iCs/>
          <w:spacing w:val="-2"/>
        </w:rPr>
        <w:t>Copyright Act 1968</w:t>
      </w:r>
      <w:r w:rsidRPr="00B17EC1">
        <w:rPr>
          <w:spacing w:val="-2"/>
        </w:rPr>
        <w:t xml:space="preserve"> permits fair dealing for study, research, news reporting, criticism and review.</w:t>
      </w:r>
      <w:r w:rsidR="00BA0F48" w:rsidRPr="00B17EC1">
        <w:rPr>
          <w:spacing w:val="-2"/>
        </w:rPr>
        <w:t xml:space="preserve"> </w:t>
      </w:r>
      <w:r w:rsidRPr="00B17EC1">
        <w:rPr>
          <w:spacing w:val="-2"/>
        </w:rPr>
        <w:t xml:space="preserve"> Selected passages, tables or diagrams may be reproduced for such purposes provided acknowledgement of the source is included.</w:t>
      </w:r>
    </w:p>
    <w:p w:rsidR="00493377" w:rsidRPr="00B17EC1" w:rsidRDefault="00493377">
      <w:pPr>
        <w:pStyle w:val="BodytextIPART"/>
      </w:pPr>
      <w:r w:rsidRPr="00B17EC1">
        <w:t xml:space="preserve">The Tribunal members for this </w:t>
      </w:r>
      <w:r w:rsidR="00EC7287" w:rsidRPr="00B17EC1">
        <w:t>special variation assessment</w:t>
      </w:r>
      <w:r w:rsidRPr="00B17EC1">
        <w:t xml:space="preserve"> are:</w:t>
      </w:r>
    </w:p>
    <w:p w:rsidR="00BE391E" w:rsidRDefault="00BE391E" w:rsidP="00BE391E">
      <w:pPr>
        <w:pStyle w:val="BodytextIPART"/>
        <w:spacing w:before="80"/>
        <w:ind w:left="284"/>
        <w:rPr>
          <w:lang w:eastAsia="en-US"/>
        </w:rPr>
      </w:pPr>
      <w:r>
        <w:rPr>
          <w:lang w:eastAsia="en-US"/>
        </w:rPr>
        <w:t xml:space="preserve">Dr Peter J </w:t>
      </w:r>
      <w:proofErr w:type="spellStart"/>
      <w:r>
        <w:rPr>
          <w:lang w:eastAsia="en-US"/>
        </w:rPr>
        <w:t>Boxall</w:t>
      </w:r>
      <w:proofErr w:type="spellEnd"/>
      <w:r>
        <w:rPr>
          <w:lang w:eastAsia="en-US"/>
        </w:rPr>
        <w:t xml:space="preserve"> AO, Chairman</w:t>
      </w:r>
    </w:p>
    <w:p w:rsidR="00BE391E" w:rsidRPr="000E20ED" w:rsidRDefault="00BE391E" w:rsidP="00BE391E">
      <w:pPr>
        <w:pStyle w:val="BodytextIPART"/>
        <w:spacing w:before="80"/>
        <w:ind w:left="284"/>
        <w:rPr>
          <w:lang w:eastAsia="en-US"/>
        </w:rPr>
      </w:pPr>
      <w:r w:rsidRPr="00676FF9">
        <w:rPr>
          <w:lang w:eastAsia="en-US"/>
        </w:rPr>
        <w:t>Mr Simon Draper</w:t>
      </w:r>
      <w:r w:rsidRPr="000E20ED">
        <w:rPr>
          <w:lang w:eastAsia="en-US"/>
        </w:rPr>
        <w:t>, Part Time Member</w:t>
      </w:r>
    </w:p>
    <w:p w:rsidR="00493377" w:rsidRPr="000C6C52" w:rsidRDefault="00493377">
      <w:pPr>
        <w:pStyle w:val="BodytextIPART"/>
      </w:pPr>
      <w:r w:rsidRPr="000C6C52">
        <w:t>Inquiries regarding this document should be directed to a staff member:</w:t>
      </w:r>
    </w:p>
    <w:p w:rsidR="003711EB" w:rsidRPr="00B17EC1" w:rsidRDefault="00C174AF" w:rsidP="003711EB">
      <w:pPr>
        <w:pStyle w:val="BodytextIPART"/>
        <w:tabs>
          <w:tab w:val="left" w:pos="3119"/>
        </w:tabs>
        <w:spacing w:before="80"/>
        <w:ind w:left="284"/>
      </w:pPr>
      <w:r>
        <w:t>Dennis Mahoney</w:t>
      </w:r>
      <w:r>
        <w:tab/>
      </w:r>
      <w:r w:rsidR="003711EB" w:rsidRPr="00696740">
        <w:tab/>
        <w:t>(02) </w:t>
      </w:r>
      <w:r>
        <w:t>9290 8494</w:t>
      </w:r>
    </w:p>
    <w:p w:rsidR="00B17EC1" w:rsidRPr="00B17EC1" w:rsidRDefault="003711EB" w:rsidP="00B17EC1">
      <w:pPr>
        <w:pStyle w:val="BodytextIPART"/>
        <w:tabs>
          <w:tab w:val="left" w:pos="3119"/>
        </w:tabs>
        <w:spacing w:before="80"/>
        <w:ind w:left="284"/>
      </w:pPr>
      <w:r>
        <w:t>Heather Dear</w:t>
      </w:r>
      <w:r w:rsidR="00B17EC1" w:rsidRPr="00696740">
        <w:tab/>
        <w:t>(02) 9</w:t>
      </w:r>
      <w:r>
        <w:t>290 8481</w:t>
      </w:r>
    </w:p>
    <w:p w:rsidR="00493377" w:rsidRPr="00B17EC1" w:rsidRDefault="00493377">
      <w:pPr>
        <w:pStyle w:val="BodytextIPART"/>
        <w:framePr w:hSpace="181" w:wrap="around" w:hAnchor="text" w:yAlign="bottom"/>
      </w:pPr>
      <w:r w:rsidRPr="00B17EC1">
        <w:t>Independent Pricing and Regulatory Tribunal of New South Wales</w:t>
      </w:r>
    </w:p>
    <w:p w:rsidR="00493377" w:rsidRPr="00B17EC1" w:rsidRDefault="00493377">
      <w:pPr>
        <w:pStyle w:val="BodytextIPART"/>
        <w:framePr w:hSpace="181" w:wrap="around" w:hAnchor="text" w:yAlign="bottom"/>
        <w:spacing w:before="0"/>
      </w:pPr>
      <w:r w:rsidRPr="00B17EC1">
        <w:t>PO Box Q290, QVB Post Office</w:t>
      </w:r>
      <w:r w:rsidRPr="00B17EC1">
        <w:rPr>
          <w:rFonts w:ascii="Arial Unicode MS" w:eastAsia="Arial Unicode MS" w:hAnsi="Arial Unicode MS" w:cs="Arial Unicode MS"/>
        </w:rPr>
        <w:t> </w:t>
      </w:r>
      <w:r w:rsidRPr="00B17EC1">
        <w:t>NSW</w:t>
      </w:r>
      <w:r w:rsidRPr="00B17EC1">
        <w:rPr>
          <w:rFonts w:ascii="Arial Unicode MS" w:eastAsia="Arial Unicode MS" w:hAnsi="Arial Unicode MS" w:cs="Arial Unicode MS" w:hint="eastAsia"/>
        </w:rPr>
        <w:t> </w:t>
      </w:r>
      <w:r w:rsidRPr="00B17EC1">
        <w:t>1230</w:t>
      </w:r>
    </w:p>
    <w:p w:rsidR="00493377" w:rsidRPr="00B17EC1" w:rsidRDefault="00493377">
      <w:pPr>
        <w:pStyle w:val="BodytextIPART"/>
        <w:framePr w:hSpace="181" w:wrap="around" w:hAnchor="text" w:yAlign="bottom"/>
        <w:spacing w:before="0"/>
      </w:pPr>
      <w:r w:rsidRPr="00B17EC1">
        <w:t>Level 8, 1 Market Street, Sydney</w:t>
      </w:r>
      <w:r w:rsidRPr="00B17EC1">
        <w:rPr>
          <w:rFonts w:ascii="Arial Unicode MS" w:eastAsia="Arial Unicode MS" w:hAnsi="Arial Unicode MS" w:cs="Arial Unicode MS"/>
        </w:rPr>
        <w:t> </w:t>
      </w:r>
      <w:r w:rsidRPr="00B17EC1">
        <w:t>NSW</w:t>
      </w:r>
      <w:r w:rsidRPr="00B17EC1">
        <w:rPr>
          <w:rFonts w:ascii="Arial Unicode MS" w:eastAsia="Arial Unicode MS" w:hAnsi="Arial Unicode MS" w:cs="Arial Unicode MS" w:hint="eastAsia"/>
        </w:rPr>
        <w:t> </w:t>
      </w:r>
      <w:r w:rsidRPr="00B17EC1">
        <w:t>2000</w:t>
      </w:r>
    </w:p>
    <w:p w:rsidR="00493377" w:rsidRPr="00B17EC1" w:rsidRDefault="00493377">
      <w:pPr>
        <w:pStyle w:val="BodytextIPART"/>
        <w:framePr w:hSpace="181" w:wrap="around" w:hAnchor="text" w:yAlign="bottom"/>
        <w:spacing w:before="80"/>
      </w:pPr>
      <w:r w:rsidRPr="00B17EC1">
        <w:t>T (02) 9290 8400</w:t>
      </w:r>
      <w:r w:rsidRPr="00B17EC1">
        <w:rPr>
          <w:rFonts w:ascii="Arial Unicode MS" w:eastAsia="Arial Unicode MS" w:hAnsi="Arial Unicode MS" w:cs="Arial Unicode MS"/>
          <w:sz w:val="24"/>
          <w:szCs w:val="24"/>
        </w:rPr>
        <w:t> </w:t>
      </w:r>
      <w:r w:rsidRPr="00B17EC1">
        <w:t>F (02) 9290 2061</w:t>
      </w:r>
    </w:p>
    <w:p w:rsidR="00493377" w:rsidRPr="00B17EC1" w:rsidRDefault="004B36A1">
      <w:pPr>
        <w:pStyle w:val="BodytextIPART"/>
        <w:framePr w:hSpace="181" w:wrap="around" w:hAnchor="text" w:yAlign="bottom"/>
        <w:spacing w:before="80"/>
      </w:pPr>
      <w:hyperlink r:id="rId10" w:history="1">
        <w:r w:rsidR="00493377" w:rsidRPr="00B17EC1">
          <w:t>www.ipart.nsw.gov.au</w:t>
        </w:r>
      </w:hyperlink>
    </w:p>
    <w:p w:rsidR="00E31FEE" w:rsidRPr="00B17EC1" w:rsidRDefault="00E31FEE" w:rsidP="00DF3F01">
      <w:pPr>
        <w:sectPr w:rsidR="00E31FEE" w:rsidRPr="00B17EC1" w:rsidSect="00996F79">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formProt w:val="0"/>
          <w:docGrid w:linePitch="360"/>
        </w:sectPr>
      </w:pPr>
    </w:p>
    <w:p w:rsidR="00493377" w:rsidRPr="00B17EC1" w:rsidRDefault="00737DED"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14078000" wp14:editId="7EC62DC7">
                <wp:simplePos x="0" y="0"/>
                <wp:positionH relativeFrom="page">
                  <wp:posOffset>0</wp:posOffset>
                </wp:positionH>
                <wp:positionV relativeFrom="paragraph">
                  <wp:posOffset>-900430</wp:posOffset>
                </wp:positionV>
                <wp:extent cx="7560310" cy="720090"/>
                <wp:effectExtent l="0" t="4445" r="2540" b="0"/>
                <wp:wrapNone/>
                <wp:docPr id="3"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183CE7"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LWjCmt+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B17EC1">
        <w:t>Contents</w:t>
      </w:r>
    </w:p>
    <w:p w:rsidR="00B776AF" w:rsidRDefault="00493377">
      <w:pPr>
        <w:pStyle w:val="TOC1"/>
        <w:rPr>
          <w:rFonts w:asciiTheme="minorHAnsi" w:eastAsiaTheme="minorEastAsia" w:hAnsiTheme="minorHAnsi" w:cstheme="minorBidi"/>
          <w:b w:val="0"/>
          <w:noProof/>
          <w:color w:val="auto"/>
          <w:sz w:val="22"/>
          <w:szCs w:val="22"/>
        </w:rPr>
      </w:pPr>
      <w:r w:rsidRPr="00B17EC1">
        <w:fldChar w:fldCharType="begin"/>
      </w:r>
      <w:r w:rsidRPr="00B17EC1">
        <w:instrText xml:space="preserve"> TOC \o "2-2" \t "Heading 1,1,Heading 6,2,Heading 1 (no number),1,Part Subtitle,1"  \* MERGEFORMAT  \* MERGEFORMAT </w:instrText>
      </w:r>
      <w:r w:rsidRPr="00B17EC1">
        <w:fldChar w:fldCharType="separate"/>
      </w:r>
      <w:r w:rsidR="00B776AF">
        <w:rPr>
          <w:noProof/>
        </w:rPr>
        <w:t>1</w:t>
      </w:r>
      <w:r w:rsidR="00B776AF">
        <w:rPr>
          <w:rFonts w:asciiTheme="minorHAnsi" w:eastAsiaTheme="minorEastAsia" w:hAnsiTheme="minorHAnsi" w:cstheme="minorBidi"/>
          <w:b w:val="0"/>
          <w:noProof/>
          <w:color w:val="auto"/>
          <w:sz w:val="22"/>
          <w:szCs w:val="22"/>
        </w:rPr>
        <w:tab/>
      </w:r>
      <w:r w:rsidR="00B776AF">
        <w:rPr>
          <w:noProof/>
        </w:rPr>
        <w:t>Introduction</w:t>
      </w:r>
      <w:r w:rsidR="00B776AF">
        <w:rPr>
          <w:noProof/>
        </w:rPr>
        <w:tab/>
      </w:r>
      <w:r w:rsidR="00B776AF">
        <w:rPr>
          <w:noProof/>
        </w:rPr>
        <w:fldChar w:fldCharType="begin"/>
      </w:r>
      <w:r w:rsidR="00B776AF">
        <w:rPr>
          <w:noProof/>
        </w:rPr>
        <w:instrText xml:space="preserve"> PAGEREF _Toc380956882 \h </w:instrText>
      </w:r>
      <w:r w:rsidR="00B776AF">
        <w:rPr>
          <w:noProof/>
        </w:rPr>
      </w:r>
      <w:r w:rsidR="00B776AF">
        <w:rPr>
          <w:noProof/>
        </w:rPr>
        <w:fldChar w:fldCharType="separate"/>
      </w:r>
      <w:r w:rsidR="004235D0">
        <w:rPr>
          <w:noProof/>
        </w:rPr>
        <w:t>4</w:t>
      </w:r>
      <w:r w:rsidR="00B776AF">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_Toc380956883 \h </w:instrText>
      </w:r>
      <w:r>
        <w:rPr>
          <w:noProof/>
        </w:rPr>
      </w:r>
      <w:r>
        <w:rPr>
          <w:noProof/>
        </w:rPr>
        <w:fldChar w:fldCharType="separate"/>
      </w:r>
      <w:r w:rsidR="004235D0">
        <w:rPr>
          <w:noProof/>
        </w:rPr>
        <w:t>4</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Submitting the application</w:t>
      </w:r>
      <w:r>
        <w:rPr>
          <w:noProof/>
        </w:rPr>
        <w:tab/>
      </w:r>
      <w:r>
        <w:rPr>
          <w:noProof/>
        </w:rPr>
        <w:fldChar w:fldCharType="begin"/>
      </w:r>
      <w:r>
        <w:rPr>
          <w:noProof/>
        </w:rPr>
        <w:instrText xml:space="preserve"> PAGEREF _Toc380956884 \h </w:instrText>
      </w:r>
      <w:r>
        <w:rPr>
          <w:noProof/>
        </w:rPr>
      </w:r>
      <w:r>
        <w:rPr>
          <w:noProof/>
        </w:rPr>
        <w:fldChar w:fldCharType="separate"/>
      </w:r>
      <w:r w:rsidR="004235D0">
        <w:rPr>
          <w:noProof/>
        </w:rPr>
        <w:t>5</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Focus on Integrated Planning and Reporting</w:t>
      </w:r>
      <w:r>
        <w:rPr>
          <w:noProof/>
        </w:rPr>
        <w:tab/>
      </w:r>
      <w:r>
        <w:rPr>
          <w:noProof/>
        </w:rPr>
        <w:fldChar w:fldCharType="begin"/>
      </w:r>
      <w:r>
        <w:rPr>
          <w:noProof/>
        </w:rPr>
        <w:instrText xml:space="preserve"> PAGEREF _Toc380956885 \h </w:instrText>
      </w:r>
      <w:r>
        <w:rPr>
          <w:noProof/>
        </w:rPr>
      </w:r>
      <w:r>
        <w:rPr>
          <w:noProof/>
        </w:rPr>
        <w:fldChar w:fldCharType="separate"/>
      </w:r>
      <w:r w:rsidR="004235D0">
        <w:rPr>
          <w:noProof/>
        </w:rPr>
        <w:t>6</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_Toc380956886 \h </w:instrText>
      </w:r>
      <w:r>
        <w:rPr>
          <w:noProof/>
        </w:rPr>
      </w:r>
      <w:r>
        <w:rPr>
          <w:noProof/>
        </w:rPr>
        <w:fldChar w:fldCharType="separate"/>
      </w:r>
      <w:r w:rsidR="004235D0">
        <w:rPr>
          <w:noProof/>
        </w:rPr>
        <w:t>9</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Community needs</w:t>
      </w:r>
      <w:r>
        <w:rPr>
          <w:noProof/>
        </w:rPr>
        <w:tab/>
      </w:r>
      <w:r>
        <w:rPr>
          <w:noProof/>
        </w:rPr>
        <w:fldChar w:fldCharType="begin"/>
      </w:r>
      <w:r>
        <w:rPr>
          <w:noProof/>
        </w:rPr>
        <w:instrText xml:space="preserve"> PAGEREF _Toc380956887 \h </w:instrText>
      </w:r>
      <w:r>
        <w:rPr>
          <w:noProof/>
        </w:rPr>
      </w:r>
      <w:r>
        <w:rPr>
          <w:noProof/>
        </w:rPr>
        <w:fldChar w:fldCharType="separate"/>
      </w:r>
      <w:r w:rsidR="004235D0">
        <w:rPr>
          <w:noProof/>
        </w:rPr>
        <w:t>10</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Alternative funding options</w:t>
      </w:r>
      <w:r>
        <w:rPr>
          <w:noProof/>
        </w:rPr>
        <w:tab/>
      </w:r>
      <w:r>
        <w:rPr>
          <w:noProof/>
        </w:rPr>
        <w:fldChar w:fldCharType="begin"/>
      </w:r>
      <w:r>
        <w:rPr>
          <w:noProof/>
        </w:rPr>
        <w:instrText xml:space="preserve"> PAGEREF _Toc380956888 \h </w:instrText>
      </w:r>
      <w:r>
        <w:rPr>
          <w:noProof/>
        </w:rPr>
      </w:r>
      <w:r>
        <w:rPr>
          <w:noProof/>
        </w:rPr>
        <w:fldChar w:fldCharType="separate"/>
      </w:r>
      <w:r w:rsidR="004235D0">
        <w:rPr>
          <w:noProof/>
        </w:rPr>
        <w:t>13</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State of financial sustainability</w:t>
      </w:r>
      <w:r>
        <w:rPr>
          <w:noProof/>
        </w:rPr>
        <w:tab/>
      </w:r>
      <w:r>
        <w:rPr>
          <w:noProof/>
        </w:rPr>
        <w:fldChar w:fldCharType="begin"/>
      </w:r>
      <w:r>
        <w:rPr>
          <w:noProof/>
        </w:rPr>
        <w:instrText xml:space="preserve"> PAGEREF _Toc380956889 \h </w:instrText>
      </w:r>
      <w:r>
        <w:rPr>
          <w:noProof/>
        </w:rPr>
      </w:r>
      <w:r>
        <w:rPr>
          <w:noProof/>
        </w:rPr>
        <w:fldChar w:fldCharType="separate"/>
      </w:r>
      <w:r w:rsidR="004235D0">
        <w:rPr>
          <w:noProof/>
        </w:rPr>
        <w:t>14</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_Toc380956890 \h </w:instrText>
      </w:r>
      <w:r>
        <w:rPr>
          <w:noProof/>
        </w:rPr>
      </w:r>
      <w:r>
        <w:rPr>
          <w:noProof/>
        </w:rPr>
        <w:fldChar w:fldCharType="separate"/>
      </w:r>
      <w:r w:rsidR="004235D0">
        <w:rPr>
          <w:noProof/>
        </w:rPr>
        <w:t>22</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_Toc380956891 \h </w:instrText>
      </w:r>
      <w:r>
        <w:rPr>
          <w:noProof/>
        </w:rPr>
      </w:r>
      <w:r>
        <w:rPr>
          <w:noProof/>
        </w:rPr>
        <w:fldChar w:fldCharType="separate"/>
      </w:r>
      <w:r w:rsidR="004235D0">
        <w:rPr>
          <w:noProof/>
        </w:rPr>
        <w:t>22</w:t>
      </w:r>
      <w:r>
        <w:rPr>
          <w:noProof/>
        </w:rPr>
        <w:fldChar w:fldCharType="end"/>
      </w:r>
    </w:p>
    <w:p w:rsidR="00B776AF" w:rsidRDefault="00B776AF">
      <w:pPr>
        <w:pStyle w:val="TOC2"/>
        <w:rPr>
          <w:rFonts w:asciiTheme="minorHAnsi" w:eastAsiaTheme="minorEastAsia" w:hAnsiTheme="minorHAnsi" w:cstheme="minorBidi"/>
          <w:noProof/>
          <w:sz w:val="22"/>
          <w:szCs w:val="22"/>
        </w:rPr>
      </w:pPr>
      <w:r w:rsidRPr="00C12914">
        <w:rPr>
          <w:bCs/>
          <w:noProof/>
        </w:rPr>
        <w:t>4.1</w:t>
      </w:r>
      <w:r>
        <w:rPr>
          <w:rFonts w:asciiTheme="minorHAnsi" w:eastAsiaTheme="minorEastAsia" w:hAnsiTheme="minorHAnsi" w:cstheme="minorBidi"/>
          <w:noProof/>
          <w:sz w:val="22"/>
          <w:szCs w:val="22"/>
        </w:rPr>
        <w:tab/>
      </w:r>
      <w:r w:rsidRPr="00C12914">
        <w:rPr>
          <w:bCs/>
          <w:noProof/>
        </w:rPr>
        <w:t>The consultation strategy</w:t>
      </w:r>
      <w:r>
        <w:rPr>
          <w:noProof/>
        </w:rPr>
        <w:tab/>
      </w:r>
      <w:r>
        <w:rPr>
          <w:noProof/>
        </w:rPr>
        <w:fldChar w:fldCharType="begin"/>
      </w:r>
      <w:r>
        <w:rPr>
          <w:noProof/>
        </w:rPr>
        <w:instrText xml:space="preserve"> PAGEREF _Toc380956892 \h </w:instrText>
      </w:r>
      <w:r>
        <w:rPr>
          <w:noProof/>
        </w:rPr>
      </w:r>
      <w:r>
        <w:rPr>
          <w:noProof/>
        </w:rPr>
        <w:fldChar w:fldCharType="separate"/>
      </w:r>
      <w:r w:rsidR="004235D0">
        <w:rPr>
          <w:noProof/>
        </w:rPr>
        <w:t>23</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Alternatives to the special variation</w:t>
      </w:r>
      <w:r>
        <w:rPr>
          <w:noProof/>
        </w:rPr>
        <w:tab/>
      </w:r>
      <w:r>
        <w:rPr>
          <w:noProof/>
        </w:rPr>
        <w:fldChar w:fldCharType="begin"/>
      </w:r>
      <w:r>
        <w:rPr>
          <w:noProof/>
        </w:rPr>
        <w:instrText xml:space="preserve"> PAGEREF _Toc380956893 \h </w:instrText>
      </w:r>
      <w:r>
        <w:rPr>
          <w:noProof/>
        </w:rPr>
      </w:r>
      <w:r>
        <w:rPr>
          <w:noProof/>
        </w:rPr>
        <w:fldChar w:fldCharType="separate"/>
      </w:r>
      <w:r w:rsidR="004235D0">
        <w:rPr>
          <w:noProof/>
        </w:rPr>
        <w:t>26</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_Toc380956894 \h </w:instrText>
      </w:r>
      <w:r>
        <w:rPr>
          <w:noProof/>
        </w:rPr>
      </w:r>
      <w:r>
        <w:rPr>
          <w:noProof/>
        </w:rPr>
        <w:fldChar w:fldCharType="separate"/>
      </w:r>
      <w:r w:rsidR="004235D0">
        <w:rPr>
          <w:noProof/>
        </w:rPr>
        <w:t>27</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Considering the impact on ratepayers</w:t>
      </w:r>
      <w:r>
        <w:rPr>
          <w:noProof/>
        </w:rPr>
        <w:tab/>
      </w:r>
      <w:r>
        <w:rPr>
          <w:noProof/>
        </w:rPr>
        <w:fldChar w:fldCharType="begin"/>
      </w:r>
      <w:r>
        <w:rPr>
          <w:noProof/>
        </w:rPr>
        <w:instrText xml:space="preserve"> PAGEREF _Toc380956895 \h </w:instrText>
      </w:r>
      <w:r>
        <w:rPr>
          <w:noProof/>
        </w:rPr>
      </w:r>
      <w:r>
        <w:rPr>
          <w:noProof/>
        </w:rPr>
        <w:fldChar w:fldCharType="separate"/>
      </w:r>
      <w:r w:rsidR="004235D0">
        <w:rPr>
          <w:noProof/>
        </w:rPr>
        <w:t>28</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Considering the community’s capacity and willingness to pay</w:t>
      </w:r>
      <w:r>
        <w:rPr>
          <w:noProof/>
        </w:rPr>
        <w:tab/>
      </w:r>
      <w:r>
        <w:rPr>
          <w:noProof/>
        </w:rPr>
        <w:fldChar w:fldCharType="begin"/>
      </w:r>
      <w:r>
        <w:rPr>
          <w:noProof/>
        </w:rPr>
        <w:instrText xml:space="preserve"> PAGEREF _Toc380956896 \h </w:instrText>
      </w:r>
      <w:r>
        <w:rPr>
          <w:noProof/>
        </w:rPr>
      </w:r>
      <w:r>
        <w:rPr>
          <w:noProof/>
        </w:rPr>
        <w:fldChar w:fldCharType="separate"/>
      </w:r>
      <w:r w:rsidR="004235D0">
        <w:rPr>
          <w:noProof/>
        </w:rPr>
        <w:t>30</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_Toc380956897 \h </w:instrText>
      </w:r>
      <w:r>
        <w:rPr>
          <w:noProof/>
        </w:rPr>
      </w:r>
      <w:r>
        <w:rPr>
          <w:noProof/>
        </w:rPr>
        <w:fldChar w:fldCharType="separate"/>
      </w:r>
      <w:r w:rsidR="004235D0">
        <w:rPr>
          <w:noProof/>
        </w:rPr>
        <w:t>34</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_Toc380956898 \h </w:instrText>
      </w:r>
      <w:r>
        <w:rPr>
          <w:noProof/>
        </w:rPr>
      </w:r>
      <w:r>
        <w:rPr>
          <w:noProof/>
        </w:rPr>
        <w:fldChar w:fldCharType="separate"/>
      </w:r>
      <w:r w:rsidR="004235D0">
        <w:rPr>
          <w:noProof/>
        </w:rPr>
        <w:t>35</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Affordability and community capacity to pay</w:t>
      </w:r>
      <w:r>
        <w:rPr>
          <w:noProof/>
        </w:rPr>
        <w:tab/>
      </w:r>
      <w:r>
        <w:rPr>
          <w:noProof/>
        </w:rPr>
        <w:fldChar w:fldCharType="begin"/>
      </w:r>
      <w:r>
        <w:rPr>
          <w:noProof/>
        </w:rPr>
        <w:instrText xml:space="preserve"> PAGEREF _Toc380956899 \h </w:instrText>
      </w:r>
      <w:r>
        <w:rPr>
          <w:noProof/>
        </w:rPr>
      </w:r>
      <w:r>
        <w:rPr>
          <w:noProof/>
        </w:rPr>
        <w:fldChar w:fldCharType="separate"/>
      </w:r>
      <w:r w:rsidR="004235D0">
        <w:rPr>
          <w:noProof/>
        </w:rPr>
        <w:t>36</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Other factors in considering reasonable impact</w:t>
      </w:r>
      <w:r>
        <w:rPr>
          <w:noProof/>
        </w:rPr>
        <w:tab/>
      </w:r>
      <w:r>
        <w:rPr>
          <w:noProof/>
        </w:rPr>
        <w:fldChar w:fldCharType="begin"/>
      </w:r>
      <w:r>
        <w:rPr>
          <w:noProof/>
        </w:rPr>
        <w:instrText xml:space="preserve"> PAGEREF _Toc380956900 \h </w:instrText>
      </w:r>
      <w:r>
        <w:rPr>
          <w:noProof/>
        </w:rPr>
      </w:r>
      <w:r>
        <w:rPr>
          <w:noProof/>
        </w:rPr>
        <w:fldChar w:fldCharType="separate"/>
      </w:r>
      <w:r w:rsidR="004235D0">
        <w:rPr>
          <w:noProof/>
        </w:rPr>
        <w:t>42</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Assumptions in Delivery Program and LTFP</w:t>
      </w:r>
      <w:r>
        <w:rPr>
          <w:noProof/>
        </w:rPr>
        <w:tab/>
      </w:r>
      <w:r>
        <w:rPr>
          <w:noProof/>
        </w:rPr>
        <w:fldChar w:fldCharType="begin"/>
      </w:r>
      <w:r>
        <w:rPr>
          <w:noProof/>
        </w:rPr>
        <w:instrText xml:space="preserve"> PAGEREF _Toc380956901 \h </w:instrText>
      </w:r>
      <w:r>
        <w:rPr>
          <w:noProof/>
        </w:rPr>
      </w:r>
      <w:r>
        <w:rPr>
          <w:noProof/>
        </w:rPr>
        <w:fldChar w:fldCharType="separate"/>
      </w:r>
      <w:r w:rsidR="004235D0">
        <w:rPr>
          <w:noProof/>
        </w:rPr>
        <w:t>43</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_Toc380956902 \h </w:instrText>
      </w:r>
      <w:r>
        <w:rPr>
          <w:noProof/>
        </w:rPr>
      </w:r>
      <w:r>
        <w:rPr>
          <w:noProof/>
        </w:rPr>
        <w:fldChar w:fldCharType="separate"/>
      </w:r>
      <w:r w:rsidR="004235D0">
        <w:rPr>
          <w:noProof/>
        </w:rPr>
        <w:t>45</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Other information</w:t>
      </w:r>
      <w:r>
        <w:rPr>
          <w:noProof/>
        </w:rPr>
        <w:tab/>
      </w:r>
      <w:r>
        <w:rPr>
          <w:noProof/>
        </w:rPr>
        <w:fldChar w:fldCharType="begin"/>
      </w:r>
      <w:r>
        <w:rPr>
          <w:noProof/>
        </w:rPr>
        <w:instrText xml:space="preserve"> PAGEREF _Toc380956903 \h </w:instrText>
      </w:r>
      <w:r>
        <w:rPr>
          <w:noProof/>
        </w:rPr>
      </w:r>
      <w:r>
        <w:rPr>
          <w:noProof/>
        </w:rPr>
        <w:fldChar w:fldCharType="separate"/>
      </w:r>
      <w:r w:rsidR="004235D0">
        <w:rPr>
          <w:noProof/>
        </w:rPr>
        <w:t>46</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Previous Instruments of Approval</w:t>
      </w:r>
      <w:r>
        <w:rPr>
          <w:noProof/>
        </w:rPr>
        <w:tab/>
      </w:r>
      <w:r>
        <w:rPr>
          <w:noProof/>
        </w:rPr>
        <w:fldChar w:fldCharType="begin"/>
      </w:r>
      <w:r>
        <w:rPr>
          <w:noProof/>
        </w:rPr>
        <w:instrText xml:space="preserve"> PAGEREF _Toc380956904 \h </w:instrText>
      </w:r>
      <w:r>
        <w:rPr>
          <w:noProof/>
        </w:rPr>
      </w:r>
      <w:r>
        <w:rPr>
          <w:noProof/>
        </w:rPr>
        <w:fldChar w:fldCharType="separate"/>
      </w:r>
      <w:r w:rsidR="004235D0">
        <w:rPr>
          <w:noProof/>
        </w:rPr>
        <w:t>46</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Reporting to your community</w:t>
      </w:r>
      <w:r>
        <w:rPr>
          <w:noProof/>
        </w:rPr>
        <w:tab/>
      </w:r>
      <w:r>
        <w:rPr>
          <w:noProof/>
        </w:rPr>
        <w:fldChar w:fldCharType="begin"/>
      </w:r>
      <w:r>
        <w:rPr>
          <w:noProof/>
        </w:rPr>
        <w:instrText xml:space="preserve"> PAGEREF _Toc380956905 \h </w:instrText>
      </w:r>
      <w:r>
        <w:rPr>
          <w:noProof/>
        </w:rPr>
      </w:r>
      <w:r>
        <w:rPr>
          <w:noProof/>
        </w:rPr>
        <w:fldChar w:fldCharType="separate"/>
      </w:r>
      <w:r w:rsidR="004235D0">
        <w:rPr>
          <w:noProof/>
        </w:rPr>
        <w:t>47</w:t>
      </w:r>
      <w:r>
        <w:rPr>
          <w:noProof/>
        </w:rPr>
        <w:fldChar w:fldCharType="end"/>
      </w:r>
    </w:p>
    <w:p w:rsidR="00B776AF" w:rsidRDefault="00B776AF">
      <w:pPr>
        <w:pStyle w:val="TOC2"/>
        <w:rPr>
          <w:rFonts w:asciiTheme="minorHAnsi" w:eastAsiaTheme="minorEastAsia" w:hAnsiTheme="minorHAnsi" w:cstheme="minorBidi"/>
          <w:noProof/>
          <w:sz w:val="22"/>
          <w:szCs w:val="22"/>
        </w:rPr>
      </w:pPr>
      <w:r>
        <w:rPr>
          <w:noProof/>
        </w:rPr>
        <w:t>8.3</w:t>
      </w:r>
      <w:r>
        <w:rPr>
          <w:rFonts w:asciiTheme="minorHAnsi" w:eastAsiaTheme="minorEastAsia" w:hAnsiTheme="minorHAnsi" w:cstheme="minorBidi"/>
          <w:noProof/>
          <w:sz w:val="22"/>
          <w:szCs w:val="22"/>
        </w:rPr>
        <w:tab/>
      </w:r>
      <w:r>
        <w:rPr>
          <w:noProof/>
        </w:rPr>
        <w:t>Council resolution to apply to IPART</w:t>
      </w:r>
      <w:r>
        <w:rPr>
          <w:noProof/>
        </w:rPr>
        <w:tab/>
      </w:r>
      <w:r>
        <w:rPr>
          <w:noProof/>
        </w:rPr>
        <w:fldChar w:fldCharType="begin"/>
      </w:r>
      <w:r>
        <w:rPr>
          <w:noProof/>
        </w:rPr>
        <w:instrText xml:space="preserve"> PAGEREF _Toc380956906 \h </w:instrText>
      </w:r>
      <w:r>
        <w:rPr>
          <w:noProof/>
        </w:rPr>
      </w:r>
      <w:r>
        <w:rPr>
          <w:noProof/>
        </w:rPr>
        <w:fldChar w:fldCharType="separate"/>
      </w:r>
      <w:r w:rsidR="004235D0">
        <w:rPr>
          <w:noProof/>
        </w:rPr>
        <w:t>47</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Checklist of contents</w:t>
      </w:r>
      <w:r>
        <w:rPr>
          <w:noProof/>
        </w:rPr>
        <w:tab/>
      </w:r>
      <w:r>
        <w:rPr>
          <w:noProof/>
        </w:rPr>
        <w:fldChar w:fldCharType="begin"/>
      </w:r>
      <w:r>
        <w:rPr>
          <w:noProof/>
        </w:rPr>
        <w:instrText xml:space="preserve"> PAGEREF _Toc380956907 \h </w:instrText>
      </w:r>
      <w:r>
        <w:rPr>
          <w:noProof/>
        </w:rPr>
      </w:r>
      <w:r>
        <w:rPr>
          <w:noProof/>
        </w:rPr>
        <w:fldChar w:fldCharType="separate"/>
      </w:r>
      <w:r w:rsidR="004235D0">
        <w:rPr>
          <w:noProof/>
        </w:rPr>
        <w:t>48</w:t>
      </w:r>
      <w:r>
        <w:rPr>
          <w:noProof/>
        </w:rPr>
        <w:fldChar w:fldCharType="end"/>
      </w:r>
    </w:p>
    <w:p w:rsidR="00B776AF" w:rsidRDefault="00B776AF">
      <w:pPr>
        <w:pStyle w:val="TOC1"/>
        <w:rPr>
          <w:rFonts w:asciiTheme="minorHAnsi" w:eastAsiaTheme="minorEastAsia" w:hAnsiTheme="minorHAnsi" w:cstheme="minorBidi"/>
          <w:b w:val="0"/>
          <w:noProof/>
          <w:color w:val="auto"/>
          <w:sz w:val="22"/>
          <w:szCs w:val="22"/>
        </w:rPr>
      </w:pPr>
      <w:r>
        <w:rPr>
          <w:noProof/>
        </w:rPr>
        <w:t>10</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_Toc380956908 \h </w:instrText>
      </w:r>
      <w:r>
        <w:rPr>
          <w:noProof/>
        </w:rPr>
      </w:r>
      <w:r>
        <w:rPr>
          <w:noProof/>
        </w:rPr>
        <w:fldChar w:fldCharType="separate"/>
      </w:r>
      <w:r w:rsidR="004235D0">
        <w:rPr>
          <w:noProof/>
        </w:rPr>
        <w:t>49</w:t>
      </w:r>
      <w:r>
        <w:rPr>
          <w:noProof/>
        </w:rPr>
        <w:fldChar w:fldCharType="end"/>
      </w:r>
    </w:p>
    <w:p w:rsidR="00604C55" w:rsidRPr="00B17EC1" w:rsidRDefault="00493377" w:rsidP="006411A5">
      <w:pPr>
        <w:pStyle w:val="BodytextIPART"/>
      </w:pPr>
      <w:r w:rsidRPr="00B17EC1">
        <w:fldChar w:fldCharType="end"/>
      </w:r>
    </w:p>
    <w:p w:rsidR="00B14896" w:rsidRPr="00B17EC1" w:rsidRDefault="00604C55" w:rsidP="002246E6">
      <w:pPr>
        <w:pStyle w:val="Heading1"/>
        <w:spacing w:before="0"/>
      </w:pPr>
      <w:r w:rsidRPr="00B17EC1">
        <w:br w:type="page"/>
      </w:r>
      <w:bookmarkStart w:id="1" w:name="_Toc380956882"/>
      <w:r w:rsidR="00557838" w:rsidRPr="00B17EC1">
        <w:lastRenderedPageBreak/>
        <w:t>Introduction</w:t>
      </w:r>
      <w:bookmarkEnd w:id="1"/>
    </w:p>
    <w:p w:rsidR="00B807B1" w:rsidRPr="00B17EC1" w:rsidRDefault="00690D29" w:rsidP="00604C55">
      <w:pPr>
        <w:pStyle w:val="BodyText"/>
        <w:spacing w:before="200"/>
      </w:pPr>
      <w:r>
        <w:t>Each council must complete this application form</w:t>
      </w:r>
      <w:r w:rsidR="00C53ACD" w:rsidRPr="00B17EC1">
        <w:t xml:space="preserve"> </w:t>
      </w:r>
      <w:r>
        <w:t xml:space="preserve">(Part B) in order to </w:t>
      </w:r>
      <w:r w:rsidR="00C53ACD" w:rsidRPr="00B17EC1">
        <w:t>apply for</w:t>
      </w:r>
      <w:r w:rsidR="00B807B1" w:rsidRPr="00B17EC1">
        <w:t xml:space="preserve"> a special variation to general income</w:t>
      </w:r>
      <w:r>
        <w:t>.  The same Part B form is to be used for applications made</w:t>
      </w:r>
      <w:r w:rsidR="00B807B1" w:rsidRPr="00B17EC1">
        <w:t xml:space="preserve"> </w:t>
      </w:r>
      <w:r w:rsidR="0019552E">
        <w:t xml:space="preserve">either </w:t>
      </w:r>
      <w:r w:rsidR="00323618">
        <w:t xml:space="preserve">under </w:t>
      </w:r>
      <w:r w:rsidR="00B807B1" w:rsidRPr="00B17EC1">
        <w:t>section 508</w:t>
      </w:r>
      <w:r w:rsidR="00B05C38" w:rsidRPr="00B17EC1">
        <w:t>A</w:t>
      </w:r>
      <w:r w:rsidR="00B807B1" w:rsidRPr="00B17EC1">
        <w:t xml:space="preserve"> </w:t>
      </w:r>
      <w:r w:rsidR="0019552E">
        <w:t xml:space="preserve">or </w:t>
      </w:r>
      <w:r w:rsidR="00323618">
        <w:t xml:space="preserve">under </w:t>
      </w:r>
      <w:r w:rsidR="0019552E">
        <w:t xml:space="preserve">section 508(2) </w:t>
      </w:r>
      <w:r w:rsidR="00B807B1" w:rsidRPr="00B17EC1">
        <w:t xml:space="preserve">of the </w:t>
      </w:r>
      <w:r w:rsidR="00B807B1" w:rsidRPr="00B17EC1">
        <w:rPr>
          <w:i/>
        </w:rPr>
        <w:t>Local Government Act 1993</w:t>
      </w:r>
      <w:r w:rsidR="00B807B1" w:rsidRPr="00B17EC1">
        <w:t>.</w:t>
      </w:r>
    </w:p>
    <w:p w:rsidR="00D6763D" w:rsidRDefault="002913F3" w:rsidP="00604C55">
      <w:pPr>
        <w:pStyle w:val="BodyText"/>
        <w:spacing w:before="200"/>
      </w:pPr>
      <w:r>
        <w:t>IPART assess</w:t>
      </w:r>
      <w:r w:rsidR="00690D29">
        <w:t>es</w:t>
      </w:r>
      <w:r>
        <w:t xml:space="preserve"> each application against the criteria set out in the</w:t>
      </w:r>
      <w:r w:rsidR="00D6763D" w:rsidRPr="00B17EC1">
        <w:t xml:space="preserve"> Division of Local Government (DLG) </w:t>
      </w:r>
      <w:r w:rsidR="00D6763D" w:rsidRPr="00E97785">
        <w:rPr>
          <w:i/>
        </w:rPr>
        <w:t>G</w:t>
      </w:r>
      <w:r w:rsidR="00D6763D" w:rsidRPr="00B17EC1">
        <w:rPr>
          <w:i/>
        </w:rPr>
        <w:t xml:space="preserve">uidelines for the </w:t>
      </w:r>
      <w:r w:rsidR="00BA0F48" w:rsidRPr="00B17EC1">
        <w:rPr>
          <w:i/>
        </w:rPr>
        <w:t>p</w:t>
      </w:r>
      <w:r w:rsidR="00D6763D" w:rsidRPr="00B17EC1">
        <w:rPr>
          <w:i/>
        </w:rPr>
        <w:t xml:space="preserve">reparation </w:t>
      </w:r>
      <w:r w:rsidR="00472825" w:rsidRPr="00B17EC1">
        <w:rPr>
          <w:i/>
        </w:rPr>
        <w:t>of</w:t>
      </w:r>
      <w:r w:rsidR="00D6763D" w:rsidRPr="00B17EC1">
        <w:rPr>
          <w:i/>
        </w:rPr>
        <w:t xml:space="preserve"> a</w:t>
      </w:r>
      <w:r w:rsidR="00A45B12" w:rsidRPr="00B17EC1">
        <w:rPr>
          <w:i/>
        </w:rPr>
        <w:t>n application for a s</w:t>
      </w:r>
      <w:r w:rsidR="00D6763D" w:rsidRPr="00B17EC1">
        <w:rPr>
          <w:i/>
        </w:rPr>
        <w:t xml:space="preserve">pecial </w:t>
      </w:r>
      <w:r w:rsidR="00472825" w:rsidRPr="00B17EC1">
        <w:rPr>
          <w:i/>
        </w:rPr>
        <w:t>v</w:t>
      </w:r>
      <w:r w:rsidR="00D6763D" w:rsidRPr="00B17EC1">
        <w:rPr>
          <w:i/>
        </w:rPr>
        <w:t xml:space="preserve">ariation </w:t>
      </w:r>
      <w:r w:rsidR="00472825" w:rsidRPr="00B17EC1">
        <w:rPr>
          <w:i/>
        </w:rPr>
        <w:t xml:space="preserve">to general </w:t>
      </w:r>
      <w:r w:rsidR="00472825" w:rsidRPr="00385582">
        <w:rPr>
          <w:i/>
        </w:rPr>
        <w:t>income</w:t>
      </w:r>
      <w:r w:rsidR="00FA4E69" w:rsidRPr="00385582">
        <w:rPr>
          <w:i/>
        </w:rPr>
        <w:t xml:space="preserve"> </w:t>
      </w:r>
      <w:r w:rsidR="0068100A" w:rsidRPr="00385582">
        <w:rPr>
          <w:i/>
        </w:rPr>
        <w:t>for 2</w:t>
      </w:r>
      <w:r w:rsidR="00FA4E69" w:rsidRPr="00385582">
        <w:rPr>
          <w:i/>
        </w:rPr>
        <w:t>014/</w:t>
      </w:r>
      <w:r w:rsidR="0068100A" w:rsidRPr="00385582">
        <w:rPr>
          <w:i/>
        </w:rPr>
        <w:t>20</w:t>
      </w:r>
      <w:r w:rsidR="00FA4E69" w:rsidRPr="00385582">
        <w:rPr>
          <w:i/>
        </w:rPr>
        <w:t>15</w:t>
      </w:r>
      <w:r w:rsidR="00FA4E69" w:rsidRPr="00385582">
        <w:t xml:space="preserve"> </w:t>
      </w:r>
      <w:r w:rsidR="001F03B8" w:rsidRPr="00385582">
        <w:t>(the</w:t>
      </w:r>
      <w:r w:rsidR="001F03B8">
        <w:t xml:space="preserve"> Guidelines). </w:t>
      </w:r>
      <w:r w:rsidR="0068100A">
        <w:t xml:space="preserve"> </w:t>
      </w:r>
      <w:r w:rsidR="00CE6BFF" w:rsidRPr="00CE6BFF">
        <w:t xml:space="preserve">Councils should refer to these guidelines before completing this application form. </w:t>
      </w:r>
      <w:r w:rsidR="00CE6BFF">
        <w:t xml:space="preserve"> </w:t>
      </w:r>
      <w:r w:rsidR="001E15EB" w:rsidRPr="00B17EC1">
        <w:t>The</w:t>
      </w:r>
      <w:r w:rsidR="001F03B8">
        <w:t>y</w:t>
      </w:r>
      <w:r w:rsidR="001E15EB" w:rsidRPr="00B17EC1">
        <w:t xml:space="preserve"> </w:t>
      </w:r>
      <w:r w:rsidR="00D6763D" w:rsidRPr="00B17EC1">
        <w:t xml:space="preserve">are available at </w:t>
      </w:r>
      <w:hyperlink r:id="rId15" w:history="1">
        <w:r w:rsidR="004337AB" w:rsidRPr="00BA4FEA">
          <w:rPr>
            <w:rStyle w:val="Hyperlink"/>
          </w:rPr>
          <w:t>www.dlg.nsw.gov.au</w:t>
        </w:r>
      </w:hyperlink>
      <w:r w:rsidR="00D6763D" w:rsidRPr="00B17EC1">
        <w:t>.</w:t>
      </w:r>
    </w:p>
    <w:p w:rsidR="004337AB" w:rsidRPr="00B17EC1" w:rsidRDefault="002913F3" w:rsidP="00604C55">
      <w:pPr>
        <w:pStyle w:val="BodyText"/>
        <w:spacing w:before="200"/>
      </w:pPr>
      <w:r>
        <w:t>We also</w:t>
      </w:r>
      <w:r w:rsidR="004337AB" w:rsidRPr="005F0063">
        <w:t xml:space="preserve"> publish Fact Sheets on our role in local government rate setting and special variations and </w:t>
      </w:r>
      <w:r w:rsidR="00323618">
        <w:t xml:space="preserve">on the nature of </w:t>
      </w:r>
      <w:r w:rsidR="004337AB" w:rsidRPr="005F0063">
        <w:t>community engagement for special variation applications</w:t>
      </w:r>
      <w:r w:rsidR="002F0FFE">
        <w:t>.</w:t>
      </w:r>
      <w:r>
        <w:t xml:space="preserve"> </w:t>
      </w:r>
      <w:r w:rsidR="004337AB" w:rsidRPr="005F0063">
        <w:t xml:space="preserve"> The </w:t>
      </w:r>
      <w:r>
        <w:t xml:space="preserve">latest </w:t>
      </w:r>
      <w:r w:rsidR="004337AB" w:rsidRPr="005F0063">
        <w:t>Fact Sheets</w:t>
      </w:r>
      <w:r w:rsidR="00690D29">
        <w:t xml:space="preserve"> </w:t>
      </w:r>
      <w:r>
        <w:t xml:space="preserve">on these topics </w:t>
      </w:r>
      <w:r w:rsidR="005F0063" w:rsidRPr="005F0063">
        <w:t>are</w:t>
      </w:r>
      <w:r w:rsidR="004337AB" w:rsidRPr="005F0063">
        <w:t xml:space="preserve"> </w:t>
      </w:r>
      <w:r w:rsidR="00690D29">
        <w:t xml:space="preserve">dated September 2013. </w:t>
      </w:r>
      <w:r w:rsidR="00CE6BFF">
        <w:t xml:space="preserve"> </w:t>
      </w:r>
      <w:r w:rsidR="00690D29">
        <w:t>They are</w:t>
      </w:r>
      <w:r w:rsidR="00690D29" w:rsidRPr="005F0063">
        <w:t xml:space="preserve"> </w:t>
      </w:r>
      <w:r w:rsidR="004337AB" w:rsidRPr="005F0063">
        <w:t xml:space="preserve">available on our website at </w:t>
      </w:r>
      <w:hyperlink r:id="rId16" w:history="1">
        <w:r w:rsidR="004337AB" w:rsidRPr="005F0063">
          <w:rPr>
            <w:rStyle w:val="Hyperlink"/>
          </w:rPr>
          <w:t>www.ipart.nsw.gov.au</w:t>
        </w:r>
      </w:hyperlink>
      <w:r w:rsidR="004337AB" w:rsidRPr="005F0063">
        <w:t>.</w:t>
      </w:r>
    </w:p>
    <w:p w:rsidR="005337B7" w:rsidRDefault="00FA4E69" w:rsidP="00604C55">
      <w:pPr>
        <w:pStyle w:val="BodyText"/>
        <w:spacing w:before="200"/>
      </w:pPr>
      <w:r>
        <w:t xml:space="preserve">Councils </w:t>
      </w:r>
      <w:r w:rsidR="00690D29">
        <w:t>must complete this</w:t>
      </w:r>
      <w:r w:rsidR="00D6763D" w:rsidRPr="00B17EC1">
        <w:t xml:space="preserve"> </w:t>
      </w:r>
      <w:r w:rsidR="005F0063">
        <w:t>P</w:t>
      </w:r>
      <w:r w:rsidR="00D6763D" w:rsidRPr="00B17EC1">
        <w:t xml:space="preserve">art </w:t>
      </w:r>
      <w:r w:rsidR="005F0063">
        <w:t xml:space="preserve">B </w:t>
      </w:r>
      <w:r w:rsidR="00690D29">
        <w:t xml:space="preserve">form with a </w:t>
      </w:r>
      <w:r w:rsidR="005337B7">
        <w:t>relevant Part A form</w:t>
      </w:r>
      <w:r w:rsidR="00690D29">
        <w:t>, also posted on our website</w:t>
      </w:r>
      <w:r w:rsidR="00323618">
        <w:t xml:space="preserve">.  </w:t>
      </w:r>
      <w:r w:rsidR="00690D29">
        <w:t>The relevant Part A form is either</w:t>
      </w:r>
      <w:r w:rsidR="005337B7">
        <w:t>:</w:t>
      </w:r>
    </w:p>
    <w:p w:rsidR="005D04AC" w:rsidRPr="005337B7" w:rsidRDefault="005D04AC" w:rsidP="005D04AC">
      <w:pPr>
        <w:pStyle w:val="ListBullet"/>
      </w:pPr>
      <w:r w:rsidRPr="00696740">
        <w:rPr>
          <w:i/>
        </w:rPr>
        <w:t>Section 508(2) Special Variation Application Fo</w:t>
      </w:r>
      <w:r w:rsidR="0049273F">
        <w:rPr>
          <w:i/>
        </w:rPr>
        <w:t>r</w:t>
      </w:r>
      <w:r w:rsidRPr="00696740">
        <w:rPr>
          <w:i/>
        </w:rPr>
        <w:t>m 201</w:t>
      </w:r>
      <w:r w:rsidR="005F0063">
        <w:rPr>
          <w:i/>
        </w:rPr>
        <w:t>4</w:t>
      </w:r>
      <w:r w:rsidRPr="00696740">
        <w:rPr>
          <w:i/>
        </w:rPr>
        <w:t>/1</w:t>
      </w:r>
      <w:r w:rsidR="005F0063">
        <w:rPr>
          <w:i/>
        </w:rPr>
        <w:t>5</w:t>
      </w:r>
      <w:r w:rsidRPr="00696740">
        <w:rPr>
          <w:i/>
        </w:rPr>
        <w:t xml:space="preserve"> – Part A</w:t>
      </w:r>
      <w:r w:rsidRPr="005337B7">
        <w:t xml:space="preserve"> for </w:t>
      </w:r>
      <w:r w:rsidR="0049273F">
        <w:t xml:space="preserve">a </w:t>
      </w:r>
      <w:r>
        <w:t xml:space="preserve">single </w:t>
      </w:r>
      <w:r w:rsidR="0049273F">
        <w:t>percentage variation</w:t>
      </w:r>
      <w:r w:rsidRPr="005337B7">
        <w:t xml:space="preserve"> under section 508(2)</w:t>
      </w:r>
      <w:r>
        <w:t xml:space="preserve"> or</w:t>
      </w:r>
    </w:p>
    <w:p w:rsidR="005337B7" w:rsidRDefault="00B05C38" w:rsidP="005337B7">
      <w:pPr>
        <w:pStyle w:val="ListBullet"/>
      </w:pPr>
      <w:r w:rsidRPr="00696740">
        <w:rPr>
          <w:i/>
        </w:rPr>
        <w:t>S</w:t>
      </w:r>
      <w:r w:rsidR="00C926C5" w:rsidRPr="00696740">
        <w:rPr>
          <w:i/>
        </w:rPr>
        <w:t>ection 508A S</w:t>
      </w:r>
      <w:r w:rsidRPr="00696740">
        <w:rPr>
          <w:i/>
        </w:rPr>
        <w:t xml:space="preserve">pecial Variation </w:t>
      </w:r>
      <w:r w:rsidR="00C90617" w:rsidRPr="00696740">
        <w:rPr>
          <w:i/>
        </w:rPr>
        <w:t xml:space="preserve">Application Form </w:t>
      </w:r>
      <w:r w:rsidR="00C422A8" w:rsidRPr="00696740">
        <w:rPr>
          <w:i/>
        </w:rPr>
        <w:t>201</w:t>
      </w:r>
      <w:r w:rsidR="005F0063">
        <w:rPr>
          <w:i/>
        </w:rPr>
        <w:t>4</w:t>
      </w:r>
      <w:r w:rsidR="00C422A8" w:rsidRPr="00696740">
        <w:rPr>
          <w:i/>
        </w:rPr>
        <w:t>/1</w:t>
      </w:r>
      <w:r w:rsidR="005F0063">
        <w:rPr>
          <w:i/>
        </w:rPr>
        <w:t>5</w:t>
      </w:r>
      <w:r w:rsidR="00D6763D" w:rsidRPr="00696740">
        <w:rPr>
          <w:i/>
        </w:rPr>
        <w:t xml:space="preserve"> – Part A</w:t>
      </w:r>
      <w:r w:rsidR="005337B7" w:rsidRPr="005337B7">
        <w:t xml:space="preserve"> for </w:t>
      </w:r>
      <w:r w:rsidR="0049273F">
        <w:t>more than one percentage variation</w:t>
      </w:r>
      <w:r w:rsidR="005337B7" w:rsidRPr="005337B7">
        <w:t xml:space="preserve"> under section 508A</w:t>
      </w:r>
      <w:r w:rsidR="005D04AC">
        <w:t>.</w:t>
      </w:r>
    </w:p>
    <w:p w:rsidR="009173B3" w:rsidRPr="00805404" w:rsidRDefault="001F03B8" w:rsidP="00D53687">
      <w:pPr>
        <w:pStyle w:val="BodyText"/>
        <w:spacing w:before="200"/>
        <w:rPr>
          <w:b/>
        </w:rPr>
      </w:pPr>
      <w:r>
        <w:t>T</w:t>
      </w:r>
      <w:r w:rsidR="00D53687" w:rsidRPr="00CA070F">
        <w:t xml:space="preserve">he amount of information to be provided is a matter </w:t>
      </w:r>
      <w:r w:rsidR="00301526">
        <w:t>for judge</w:t>
      </w:r>
      <w:r w:rsidR="005F29FB">
        <w:t>ment</w:t>
      </w:r>
      <w:r w:rsidR="00301526">
        <w:t xml:space="preserve">, but it should be sufficient for us to make an evidence-based assessment of </w:t>
      </w:r>
      <w:r w:rsidR="005F29FB">
        <w:t xml:space="preserve">the council’s </w:t>
      </w:r>
      <w:r w:rsidR="00301526">
        <w:t>application against each criterion</w:t>
      </w:r>
      <w:r w:rsidR="00D53687" w:rsidRPr="00CA070F">
        <w:t xml:space="preserve">.  </w:t>
      </w:r>
      <w:r w:rsidR="00690D29">
        <w:t xml:space="preserve">This form includes some questions </w:t>
      </w:r>
      <w:r w:rsidR="005F29FB">
        <w:t xml:space="preserve">that the application should address, </w:t>
      </w:r>
      <w:r w:rsidR="00690D29">
        <w:t xml:space="preserve">and guidance on the information that we require. </w:t>
      </w:r>
      <w:r w:rsidR="00805404">
        <w:t xml:space="preserve"> </w:t>
      </w:r>
      <w:r w:rsidR="00301526">
        <w:t xml:space="preserve">As a general rule, the </w:t>
      </w:r>
      <w:r w:rsidR="005F29FB">
        <w:t xml:space="preserve">higher </w:t>
      </w:r>
      <w:r w:rsidR="00805404">
        <w:t xml:space="preserve">the cumulative percentage </w:t>
      </w:r>
      <w:r w:rsidR="005F29FB">
        <w:t>increase</w:t>
      </w:r>
      <w:r w:rsidR="00805404">
        <w:t xml:space="preserve"> requested</w:t>
      </w:r>
      <w:r w:rsidR="005F29FB">
        <w:t xml:space="preserve">, </w:t>
      </w:r>
      <w:r w:rsidR="00805404">
        <w:t xml:space="preserve">and the greater its complexity, the </w:t>
      </w:r>
      <w:r w:rsidR="005F29FB">
        <w:t xml:space="preserve">more detailed and extensive </w:t>
      </w:r>
      <w:r w:rsidR="0068100A">
        <w:t xml:space="preserve">will be </w:t>
      </w:r>
      <w:r w:rsidR="00805404">
        <w:t xml:space="preserve">the information required. </w:t>
      </w:r>
      <w:r w:rsidR="0068100A">
        <w:t xml:space="preserve"> </w:t>
      </w:r>
    </w:p>
    <w:p w:rsidR="00CE6BFF" w:rsidRDefault="00CE6BFF" w:rsidP="00CE6BFF">
      <w:pPr>
        <w:pStyle w:val="Heading2"/>
      </w:pPr>
      <w:bookmarkStart w:id="2" w:name="_Toc380956883"/>
      <w:r>
        <w:t>Completing the application form</w:t>
      </w:r>
      <w:bookmarkEnd w:id="2"/>
    </w:p>
    <w:p w:rsidR="00CE6BFF" w:rsidRDefault="00CE6BFF" w:rsidP="00E56758">
      <w:pPr>
        <w:pStyle w:val="BodyText"/>
        <w:spacing w:before="200"/>
      </w:pPr>
      <w:r w:rsidRPr="00CE6BFF">
        <w:t xml:space="preserve">To complete this Part B form, insert the council’s response in the boxes and the area which is highlighted, following each section or sub-section.  </w:t>
      </w:r>
    </w:p>
    <w:p w:rsidR="00CE6BFF" w:rsidRDefault="00CE6BFF" w:rsidP="00CE6BFF">
      <w:pPr>
        <w:pStyle w:val="BodyText"/>
        <w:spacing w:before="200"/>
      </w:pPr>
      <w:r>
        <w:t>Councils may submit additional supporting documents as attachments to the application.  The attachments should be clearly identified in Part B and cross-referenced.  We prefer to receive relevant extracts rather than complete publications, unless the complete publication is relevant to the criteria.  Please provide details of how we can access the complete publication should this be necessary.</w:t>
      </w:r>
    </w:p>
    <w:p w:rsidR="00CE6BFF" w:rsidRDefault="00385582" w:rsidP="00CE6BFF">
      <w:pPr>
        <w:pStyle w:val="BodyText"/>
        <w:spacing w:before="200"/>
      </w:pPr>
      <w:r>
        <w:t>W</w:t>
      </w:r>
      <w:r w:rsidR="00CE6BFF">
        <w:t>e may ask for additional information to assist us in making our assessment.  If this is necessary, we will contact the nominated council officer.</w:t>
      </w:r>
    </w:p>
    <w:p w:rsidR="008F1636" w:rsidRPr="009307D3" w:rsidRDefault="008F1636" w:rsidP="008138CD">
      <w:pPr>
        <w:pStyle w:val="BodyText"/>
        <w:keepNext/>
        <w:spacing w:before="200"/>
      </w:pPr>
      <w:r w:rsidRPr="008F1636">
        <w:lastRenderedPageBreak/>
        <w:t>This application form consists of:</w:t>
      </w:r>
    </w:p>
    <w:p w:rsidR="008F1636" w:rsidRDefault="008F1636" w:rsidP="008138CD">
      <w:pPr>
        <w:pStyle w:val="ListBullet"/>
        <w:keepNext/>
      </w:pPr>
      <w:r w:rsidRPr="00B17EC1">
        <w:t xml:space="preserve">Section </w:t>
      </w:r>
      <w:r>
        <w:t>2 - Focus on Integrated Planning and Reporting</w:t>
      </w:r>
    </w:p>
    <w:p w:rsidR="008F1636" w:rsidRPr="00B17EC1" w:rsidRDefault="008F1636" w:rsidP="008138CD">
      <w:pPr>
        <w:pStyle w:val="ListBullet"/>
        <w:keepNext/>
      </w:pPr>
      <w:r>
        <w:t>Section 3 – Assessment criterion 1</w:t>
      </w:r>
    </w:p>
    <w:p w:rsidR="008F1636" w:rsidRPr="00B17EC1" w:rsidRDefault="008F1636" w:rsidP="008138CD">
      <w:pPr>
        <w:pStyle w:val="ListBullet"/>
        <w:keepNext/>
      </w:pPr>
      <w:r w:rsidRPr="00B17EC1">
        <w:t xml:space="preserve">Section </w:t>
      </w:r>
      <w:r>
        <w:t>4</w:t>
      </w:r>
      <w:r w:rsidRPr="00B17EC1">
        <w:t xml:space="preserve"> </w:t>
      </w:r>
      <w:r>
        <w:t>–</w:t>
      </w:r>
      <w:r w:rsidRPr="00B17EC1">
        <w:t xml:space="preserve"> </w:t>
      </w:r>
      <w:r>
        <w:t>Assessment criterion 2</w:t>
      </w:r>
    </w:p>
    <w:p w:rsidR="008F1636" w:rsidRPr="00B17EC1" w:rsidRDefault="008F1636" w:rsidP="008138CD">
      <w:pPr>
        <w:pStyle w:val="ListBullet"/>
        <w:keepNext/>
      </w:pPr>
      <w:r w:rsidRPr="00B17EC1">
        <w:t xml:space="preserve">Section </w:t>
      </w:r>
      <w:r>
        <w:t>5</w:t>
      </w:r>
      <w:r w:rsidRPr="00B17EC1">
        <w:t xml:space="preserve"> </w:t>
      </w:r>
      <w:r>
        <w:t>–</w:t>
      </w:r>
      <w:r w:rsidRPr="00B17EC1">
        <w:t xml:space="preserve"> </w:t>
      </w:r>
      <w:r>
        <w:t>Assessment criterion 3</w:t>
      </w:r>
    </w:p>
    <w:p w:rsidR="008F1636" w:rsidRDefault="008F1636" w:rsidP="008138CD">
      <w:pPr>
        <w:pStyle w:val="ListBullet"/>
        <w:keepNext/>
      </w:pPr>
      <w:r>
        <w:t>Section 6 – Assessment criterion 4</w:t>
      </w:r>
    </w:p>
    <w:p w:rsidR="008F1636" w:rsidRDefault="008F1636" w:rsidP="008138CD">
      <w:pPr>
        <w:pStyle w:val="ListBullet"/>
        <w:keepNext/>
      </w:pPr>
      <w:r w:rsidRPr="00B17EC1">
        <w:t xml:space="preserve">Section </w:t>
      </w:r>
      <w:r>
        <w:t>7</w:t>
      </w:r>
      <w:r w:rsidRPr="00B17EC1">
        <w:t xml:space="preserve"> </w:t>
      </w:r>
      <w:r>
        <w:t>–</w:t>
      </w:r>
      <w:r w:rsidRPr="00B17EC1">
        <w:t xml:space="preserve"> </w:t>
      </w:r>
      <w:r>
        <w:t>Assessment criterion 5</w:t>
      </w:r>
    </w:p>
    <w:p w:rsidR="008F1636" w:rsidRPr="00B17EC1" w:rsidRDefault="008F1636" w:rsidP="008138CD">
      <w:pPr>
        <w:pStyle w:val="ListBullet"/>
        <w:keepNext/>
      </w:pPr>
      <w:r w:rsidRPr="00B17EC1">
        <w:t xml:space="preserve">Section </w:t>
      </w:r>
      <w:r>
        <w:t>8 - Other information</w:t>
      </w:r>
    </w:p>
    <w:p w:rsidR="008F1636" w:rsidRDefault="008F1636" w:rsidP="008138CD">
      <w:pPr>
        <w:pStyle w:val="ListBullet"/>
        <w:keepNext/>
      </w:pPr>
      <w:r w:rsidRPr="00B17EC1">
        <w:t xml:space="preserve">Section </w:t>
      </w:r>
      <w:r>
        <w:t>9</w:t>
      </w:r>
      <w:r w:rsidRPr="00B17EC1">
        <w:t xml:space="preserve"> – Checklist of contents</w:t>
      </w:r>
    </w:p>
    <w:p w:rsidR="008F1636" w:rsidRPr="00B17EC1" w:rsidRDefault="008F1636" w:rsidP="008138CD">
      <w:pPr>
        <w:pStyle w:val="ListBullet"/>
        <w:keepNext/>
      </w:pPr>
      <w:r w:rsidRPr="00B17EC1">
        <w:t xml:space="preserve">Section </w:t>
      </w:r>
      <w:r>
        <w:t>10</w:t>
      </w:r>
      <w:r w:rsidRPr="00B17EC1">
        <w:t xml:space="preserve"> </w:t>
      </w:r>
      <w:r>
        <w:t>–</w:t>
      </w:r>
      <w:r w:rsidRPr="00B17EC1">
        <w:t xml:space="preserve"> Certification</w:t>
      </w:r>
      <w:r>
        <w:t>.</w:t>
      </w:r>
    </w:p>
    <w:p w:rsidR="007503FA" w:rsidRDefault="00BB282E" w:rsidP="007503FA">
      <w:pPr>
        <w:pStyle w:val="Heading2"/>
      </w:pPr>
      <w:bookmarkStart w:id="3" w:name="_Toc380956884"/>
      <w:r>
        <w:t>Submitting</w:t>
      </w:r>
      <w:r w:rsidR="007503FA">
        <w:t xml:space="preserve"> </w:t>
      </w:r>
      <w:r>
        <w:t>the</w:t>
      </w:r>
      <w:r w:rsidR="007503FA">
        <w:t xml:space="preserve"> application</w:t>
      </w:r>
      <w:bookmarkEnd w:id="3"/>
    </w:p>
    <w:p w:rsidR="00B162D0" w:rsidRDefault="00300D44" w:rsidP="00447241">
      <w:pPr>
        <w:pStyle w:val="BodyText"/>
        <w:spacing w:before="200"/>
      </w:pPr>
      <w:r w:rsidRPr="00385582">
        <w:t xml:space="preserve">IPART </w:t>
      </w:r>
      <w:r w:rsidR="00E445A6" w:rsidRPr="00385582">
        <w:t xml:space="preserve">asks that </w:t>
      </w:r>
      <w:r w:rsidR="00B162D0" w:rsidRPr="00385582">
        <w:t xml:space="preserve">all </w:t>
      </w:r>
      <w:r w:rsidRPr="00385582">
        <w:t xml:space="preserve">councils intending to </w:t>
      </w:r>
      <w:r w:rsidR="00B162D0" w:rsidRPr="00385582">
        <w:t xml:space="preserve">apply for a special variation use </w:t>
      </w:r>
      <w:r w:rsidR="005C5228" w:rsidRPr="00385582">
        <w:t>the Council Portal on our website</w:t>
      </w:r>
      <w:r w:rsidR="00136367" w:rsidRPr="00385582">
        <w:t xml:space="preserve"> </w:t>
      </w:r>
      <w:r w:rsidR="00B162D0" w:rsidRPr="00385582">
        <w:t>to register as an applicant council and to submit their application.</w:t>
      </w:r>
      <w:r w:rsidR="00B162D0">
        <w:t xml:space="preserve">  </w:t>
      </w:r>
    </w:p>
    <w:p w:rsidR="003454D2" w:rsidRDefault="00B162D0" w:rsidP="00447241">
      <w:pPr>
        <w:pStyle w:val="BodyText"/>
        <w:spacing w:before="200"/>
      </w:pPr>
      <w:r>
        <w:t xml:space="preserve">The Portal is at </w:t>
      </w:r>
      <w:hyperlink r:id="rId17" w:history="1">
        <w:r w:rsidR="00136367" w:rsidRPr="000426C1">
          <w:rPr>
            <w:rStyle w:val="Hyperlink"/>
          </w:rPr>
          <w:t>http://www.ipart.nsw.gov.au/Home/Industries/Local_Govt</w:t>
        </w:r>
      </w:hyperlink>
      <w:r w:rsidR="00136367">
        <w:t xml:space="preserve">. </w:t>
      </w:r>
      <w:r w:rsidR="00300D44">
        <w:t xml:space="preserve"> </w:t>
      </w:r>
      <w:r w:rsidR="00136367">
        <w:t>A</w:t>
      </w:r>
      <w:r w:rsidR="00300D44">
        <w:t> </w:t>
      </w:r>
      <w:hyperlink r:id="rId18" w:history="1">
        <w:r w:rsidR="00136367" w:rsidRPr="000426C1">
          <w:rPr>
            <w:rStyle w:val="Hyperlink"/>
          </w:rPr>
          <w:t>User Guide</w:t>
        </w:r>
      </w:hyperlink>
      <w:r w:rsidR="00136367">
        <w:rPr>
          <w:rStyle w:val="Hyperlink"/>
        </w:rPr>
        <w:t xml:space="preserve"> </w:t>
      </w:r>
      <w:r w:rsidR="003454D2">
        <w:t xml:space="preserve">for the Portal </w:t>
      </w:r>
      <w:r w:rsidR="00300D44">
        <w:t xml:space="preserve">will </w:t>
      </w:r>
      <w:r w:rsidR="003454D2">
        <w:t xml:space="preserve">assist you with the </w:t>
      </w:r>
      <w:r>
        <w:t xml:space="preserve">registration and </w:t>
      </w:r>
      <w:r w:rsidR="003454D2">
        <w:t xml:space="preserve">online submission process.  </w:t>
      </w:r>
    </w:p>
    <w:p w:rsidR="00300D44" w:rsidRPr="001F2310" w:rsidRDefault="00300D44" w:rsidP="00300D44">
      <w:pPr>
        <w:pStyle w:val="BodyText"/>
        <w:spacing w:before="200"/>
        <w:rPr>
          <w:b/>
        </w:rPr>
      </w:pPr>
      <w:r w:rsidRPr="00385582">
        <w:rPr>
          <w:rFonts w:cs="Arial"/>
          <w:color w:val="000000"/>
        </w:rPr>
        <w:t xml:space="preserve">Councils intending to submit an </w:t>
      </w:r>
      <w:r w:rsidRPr="0003702A">
        <w:rPr>
          <w:rFonts w:cs="Arial"/>
          <w:color w:val="000000"/>
        </w:rPr>
        <w:t>application should notify us</w:t>
      </w:r>
      <w:r w:rsidRPr="00385582">
        <w:rPr>
          <w:rFonts w:cs="Arial"/>
          <w:color w:val="000000"/>
        </w:rPr>
        <w:t xml:space="preserve"> of their intention</w:t>
      </w:r>
      <w:r w:rsidRPr="001F2310">
        <w:rPr>
          <w:rFonts w:cs="Arial"/>
          <w:color w:val="000000"/>
        </w:rPr>
        <w:t xml:space="preserve"> </w:t>
      </w:r>
      <w:r>
        <w:rPr>
          <w:rFonts w:cs="Arial"/>
          <w:color w:val="000000"/>
        </w:rPr>
        <w:t xml:space="preserve">to apply </w:t>
      </w:r>
      <w:r w:rsidRPr="001F2310">
        <w:t xml:space="preserve">by </w:t>
      </w:r>
      <w:r w:rsidRPr="003F599F">
        <w:rPr>
          <w:b/>
        </w:rPr>
        <w:t>cob Friday 13 December 2013.</w:t>
      </w:r>
      <w:r w:rsidRPr="00BB282E">
        <w:t xml:space="preserve"> </w:t>
      </w:r>
    </w:p>
    <w:p w:rsidR="004F5666" w:rsidRDefault="00300D44" w:rsidP="004F5666">
      <w:pPr>
        <w:pStyle w:val="BodyText"/>
        <w:spacing w:before="200"/>
      </w:pPr>
      <w:r w:rsidRPr="00BB282E">
        <w:rPr>
          <w:rFonts w:cs="Arial"/>
          <w:color w:val="000000"/>
        </w:rPr>
        <w:t>C</w:t>
      </w:r>
      <w:r>
        <w:rPr>
          <w:rFonts w:cs="Arial"/>
          <w:color w:val="000000"/>
        </w:rPr>
        <w:t xml:space="preserve">ouncils should </w:t>
      </w:r>
      <w:r w:rsidR="00B162D0">
        <w:rPr>
          <w:rFonts w:cs="Arial"/>
          <w:color w:val="000000"/>
        </w:rPr>
        <w:t>also</w:t>
      </w:r>
      <w:r>
        <w:rPr>
          <w:rFonts w:cs="Arial"/>
          <w:color w:val="000000"/>
        </w:rPr>
        <w:t xml:space="preserve"> submit their applications, </w:t>
      </w:r>
      <w:r>
        <w:t>bo</w:t>
      </w:r>
      <w:r w:rsidRPr="00B17EC1">
        <w:t xml:space="preserve">th Part A and Part B </w:t>
      </w:r>
      <w:r>
        <w:t>and supporting documents</w:t>
      </w:r>
      <w:r w:rsidR="00B162D0">
        <w:t>,</w:t>
      </w:r>
      <w:r>
        <w:t xml:space="preserve"> via the Portal.  </w:t>
      </w:r>
      <w:r w:rsidR="00300CAB">
        <w:t>F</w:t>
      </w:r>
      <w:r w:rsidR="007503FA">
        <w:t xml:space="preserve">ile size limits </w:t>
      </w:r>
      <w:r w:rsidR="007503FA" w:rsidRPr="00385582">
        <w:t>apply to each part of</w:t>
      </w:r>
      <w:r w:rsidR="007503FA">
        <w:t xml:space="preserve"> the application</w:t>
      </w:r>
      <w:r w:rsidR="009307D3">
        <w:t xml:space="preserve">. </w:t>
      </w:r>
      <w:r w:rsidR="007503FA">
        <w:t xml:space="preserve"> </w:t>
      </w:r>
      <w:r w:rsidR="00CE0BF6">
        <w:t>F</w:t>
      </w:r>
      <w:r w:rsidR="007503FA">
        <w:t xml:space="preserve">or Part B </w:t>
      </w:r>
      <w:r w:rsidR="00CE0BF6">
        <w:t xml:space="preserve">the limit is </w:t>
      </w:r>
      <w:r w:rsidR="007503FA">
        <w:t>10MB</w:t>
      </w:r>
      <w:r w:rsidR="00CE0BF6">
        <w:t xml:space="preserve">.  The limit </w:t>
      </w:r>
      <w:r w:rsidR="003454D2">
        <w:t>for the</w:t>
      </w:r>
      <w:r w:rsidR="007503FA">
        <w:t xml:space="preserve"> supporting documents </w:t>
      </w:r>
      <w:r w:rsidR="00CE0BF6">
        <w:t xml:space="preserve">is 120MB </w:t>
      </w:r>
      <w:r w:rsidR="003454D2">
        <w:t xml:space="preserve">in </w:t>
      </w:r>
      <w:proofErr w:type="gramStart"/>
      <w:r w:rsidR="003454D2">
        <w:t>total</w:t>
      </w:r>
      <w:r w:rsidR="00CE0BF6">
        <w:t>,</w:t>
      </w:r>
      <w:proofErr w:type="gramEnd"/>
      <w:r w:rsidR="00CE0BF6">
        <w:t xml:space="preserve"> or 7</w:t>
      </w:r>
      <w:r w:rsidR="007503FA">
        <w:t>0MB for public documents and 50MB for confidential documents.  Th</w:t>
      </w:r>
      <w:r w:rsidR="002022A3">
        <w:t>ese file limits</w:t>
      </w:r>
      <w:r w:rsidR="007503FA">
        <w:t xml:space="preserve"> should be sufficient for </w:t>
      </w:r>
      <w:r w:rsidR="00AF6D4A">
        <w:t>your</w:t>
      </w:r>
      <w:r w:rsidR="007503FA">
        <w:t xml:space="preserve"> application.</w:t>
      </w:r>
      <w:r w:rsidR="009307D3">
        <w:t xml:space="preserve"> </w:t>
      </w:r>
      <w:r w:rsidR="008138CD">
        <w:t xml:space="preserve"> </w:t>
      </w:r>
      <w:r w:rsidR="009307D3">
        <w:t xml:space="preserve">Please contact us if </w:t>
      </w:r>
      <w:r w:rsidR="002022A3">
        <w:t>they are</w:t>
      </w:r>
      <w:r w:rsidR="009307D3">
        <w:t xml:space="preserve"> not.</w:t>
      </w:r>
    </w:p>
    <w:p w:rsidR="007E7C3C" w:rsidRDefault="004F5666" w:rsidP="004F5666">
      <w:pPr>
        <w:pStyle w:val="BodyText"/>
        <w:spacing w:before="200"/>
      </w:pPr>
      <w:r>
        <w:t xml:space="preserve">We also ask that councils also </w:t>
      </w:r>
      <w:r w:rsidR="00FC54CE">
        <w:t xml:space="preserve">submit </w:t>
      </w:r>
      <w:r>
        <w:t>their</w:t>
      </w:r>
      <w:r w:rsidR="00FC54CE">
        <w:t xml:space="preserve"> application to us in </w:t>
      </w:r>
      <w:r w:rsidR="007E7C3C" w:rsidRPr="00282BE9">
        <w:t xml:space="preserve">hard copy </w:t>
      </w:r>
      <w:r w:rsidR="0028698E">
        <w:t>(</w:t>
      </w:r>
      <w:r w:rsidR="007E7C3C" w:rsidRPr="00282BE9">
        <w:t>with a table of contents and appropriate cross referencing of attach</w:t>
      </w:r>
      <w:r w:rsidR="00AF6D4A">
        <w:t>ments</w:t>
      </w:r>
      <w:r w:rsidR="0028698E">
        <w:t>)</w:t>
      </w:r>
      <w:r>
        <w:t>.  Our address is</w:t>
      </w:r>
      <w:r w:rsidR="007E7C3C" w:rsidRPr="00282BE9">
        <w:t>:</w:t>
      </w:r>
    </w:p>
    <w:p w:rsidR="00093C70" w:rsidRDefault="007E7C3C" w:rsidP="00E56758">
      <w:pPr>
        <w:pStyle w:val="BodyText"/>
        <w:ind w:left="720"/>
        <w:jc w:val="left"/>
      </w:pPr>
      <w:r w:rsidRPr="00282BE9">
        <w:t xml:space="preserve">Local Government </w:t>
      </w:r>
      <w:r>
        <w:t>T</w:t>
      </w:r>
      <w:r w:rsidRPr="00282BE9">
        <w:t>eam</w:t>
      </w:r>
      <w:r w:rsidR="001658C4">
        <w:br/>
      </w:r>
      <w:r w:rsidRPr="00282BE9">
        <w:t>Independent Pricing and Regulatory Tribunal</w:t>
      </w:r>
      <w:r w:rsidR="001658C4">
        <w:br/>
      </w:r>
      <w:r w:rsidR="00FC54CE">
        <w:t>PO Box Q290</w:t>
      </w:r>
      <w:r w:rsidR="008F1636">
        <w:br/>
      </w:r>
      <w:r w:rsidR="00FC54CE">
        <w:t xml:space="preserve">QVB Post Office </w:t>
      </w:r>
      <w:r w:rsidR="004F5666">
        <w:t xml:space="preserve">  </w:t>
      </w:r>
      <w:proofErr w:type="gramStart"/>
      <w:r w:rsidR="00FC54CE">
        <w:t xml:space="preserve">NSW </w:t>
      </w:r>
      <w:r w:rsidR="004F5666">
        <w:t xml:space="preserve"> </w:t>
      </w:r>
      <w:r w:rsidR="00FC54CE">
        <w:t>1230</w:t>
      </w:r>
      <w:proofErr w:type="gramEnd"/>
      <w:r w:rsidR="0028698E">
        <w:t xml:space="preserve">          </w:t>
      </w:r>
    </w:p>
    <w:p w:rsidR="00F70AC8" w:rsidRDefault="0028698E" w:rsidP="00E56758">
      <w:pPr>
        <w:pStyle w:val="BodyText"/>
        <w:ind w:left="720"/>
        <w:jc w:val="left"/>
      </w:pPr>
      <w:r>
        <w:t xml:space="preserve">Level </w:t>
      </w:r>
      <w:r w:rsidR="00093C70">
        <w:t>17</w:t>
      </w:r>
      <w:r>
        <w:t xml:space="preserve">, 1 </w:t>
      </w:r>
      <w:r w:rsidR="004F5666">
        <w:t>M</w:t>
      </w:r>
      <w:r>
        <w:t>arket Street</w:t>
      </w:r>
      <w:proofErr w:type="gramStart"/>
      <w:r>
        <w:t xml:space="preserve">, </w:t>
      </w:r>
      <w:r w:rsidR="00E445A6">
        <w:t xml:space="preserve"> </w:t>
      </w:r>
      <w:r>
        <w:t>Sydney</w:t>
      </w:r>
      <w:proofErr w:type="gramEnd"/>
      <w:r>
        <w:t xml:space="preserve">  </w:t>
      </w:r>
      <w:r w:rsidR="004F5666">
        <w:t xml:space="preserve"> </w:t>
      </w:r>
      <w:r>
        <w:t xml:space="preserve">NSW  </w:t>
      </w:r>
      <w:r w:rsidR="004F5666">
        <w:t xml:space="preserve"> </w:t>
      </w:r>
      <w:r>
        <w:t>2000.</w:t>
      </w:r>
    </w:p>
    <w:p w:rsidR="00EC7287" w:rsidRPr="001F2310" w:rsidRDefault="00FD246A" w:rsidP="00604C55">
      <w:pPr>
        <w:pStyle w:val="BodyText"/>
        <w:spacing w:before="200"/>
      </w:pPr>
      <w:r>
        <w:t>We</w:t>
      </w:r>
      <w:r w:rsidR="002B4BBD" w:rsidRPr="001F2310">
        <w:t xml:space="preserve"> must receive</w:t>
      </w:r>
      <w:r>
        <w:t xml:space="preserve"> your application</w:t>
      </w:r>
      <w:r w:rsidR="00E97785" w:rsidRPr="001F2310">
        <w:t xml:space="preserve"> via the Council </w:t>
      </w:r>
      <w:r w:rsidR="00E97785" w:rsidRPr="0003702A">
        <w:t>Portal</w:t>
      </w:r>
      <w:r w:rsidR="00E51838" w:rsidRPr="0003702A">
        <w:t xml:space="preserve"> </w:t>
      </w:r>
      <w:r w:rsidR="00E97785" w:rsidRPr="0003702A">
        <w:t>and in hard</w:t>
      </w:r>
      <w:r w:rsidR="00600721" w:rsidRPr="0003702A">
        <w:t xml:space="preserve"> </w:t>
      </w:r>
      <w:r w:rsidR="00E97785" w:rsidRPr="0003702A">
        <w:t>copy</w:t>
      </w:r>
      <w:r w:rsidR="00E97785" w:rsidRPr="001F2310">
        <w:t xml:space="preserve"> </w:t>
      </w:r>
      <w:r w:rsidR="002B4BBD" w:rsidRPr="001F2310">
        <w:t xml:space="preserve">no later than </w:t>
      </w:r>
      <w:r w:rsidR="00B049C8" w:rsidRPr="001F2310">
        <w:rPr>
          <w:b/>
        </w:rPr>
        <w:t xml:space="preserve">cob </w:t>
      </w:r>
      <w:r w:rsidR="007704C1" w:rsidRPr="003F599F">
        <w:rPr>
          <w:b/>
        </w:rPr>
        <w:t xml:space="preserve">Monday </w:t>
      </w:r>
      <w:r w:rsidR="00093D97" w:rsidRPr="003F599F">
        <w:rPr>
          <w:b/>
        </w:rPr>
        <w:t>24 February</w:t>
      </w:r>
      <w:r w:rsidR="007704C1" w:rsidRPr="003F599F">
        <w:rPr>
          <w:b/>
        </w:rPr>
        <w:t xml:space="preserve"> 201</w:t>
      </w:r>
      <w:r w:rsidR="00093D97" w:rsidRPr="003F599F">
        <w:rPr>
          <w:b/>
        </w:rPr>
        <w:t>4</w:t>
      </w:r>
      <w:r w:rsidR="002B4BBD" w:rsidRPr="003F599F">
        <w:rPr>
          <w:b/>
        </w:rPr>
        <w:t>.</w:t>
      </w:r>
    </w:p>
    <w:p w:rsidR="004F5666" w:rsidRDefault="004F5666" w:rsidP="004F5666">
      <w:pPr>
        <w:pStyle w:val="BodyText"/>
        <w:spacing w:before="200"/>
      </w:pPr>
      <w:r w:rsidRPr="009307D3">
        <w:t xml:space="preserve">We will post all applications (excluding confidential documents) on our website.  </w:t>
      </w:r>
      <w:r>
        <w:t xml:space="preserve">Councils should </w:t>
      </w:r>
      <w:r w:rsidRPr="009307D3">
        <w:t xml:space="preserve">also post </w:t>
      </w:r>
      <w:r>
        <w:t>the</w:t>
      </w:r>
      <w:r w:rsidR="00107051">
        <w:t>ir</w:t>
      </w:r>
      <w:r w:rsidRPr="009307D3">
        <w:t xml:space="preserve"> application on </w:t>
      </w:r>
      <w:r>
        <w:t>the</w:t>
      </w:r>
      <w:r w:rsidR="00107051">
        <w:t>ir own</w:t>
      </w:r>
      <w:r>
        <w:t xml:space="preserve"> </w:t>
      </w:r>
      <w:r w:rsidRPr="009307D3">
        <w:t xml:space="preserve">website for </w:t>
      </w:r>
      <w:r>
        <w:t xml:space="preserve">the </w:t>
      </w:r>
      <w:r w:rsidRPr="009307D3">
        <w:t>community to read.</w:t>
      </w:r>
    </w:p>
    <w:p w:rsidR="00472269" w:rsidRPr="00B17EC1" w:rsidRDefault="00D40CEC" w:rsidP="00CB155C">
      <w:pPr>
        <w:pStyle w:val="Heading1"/>
      </w:pPr>
      <w:bookmarkStart w:id="4" w:name="_Toc380956885"/>
      <w:r>
        <w:lastRenderedPageBreak/>
        <w:t xml:space="preserve">Focus on </w:t>
      </w:r>
      <w:r w:rsidR="00472269" w:rsidRPr="00B17EC1">
        <w:t>Integrated Planning and Reporting</w:t>
      </w:r>
      <w:bookmarkEnd w:id="4"/>
    </w:p>
    <w:p w:rsidR="00B83CB3" w:rsidRDefault="00184D5D" w:rsidP="00472269">
      <w:pPr>
        <w:pStyle w:val="BodyText"/>
      </w:pPr>
      <w:r>
        <w:t>H</w:t>
      </w:r>
      <w:r w:rsidR="001A64C5">
        <w:t>ow a council consider</w:t>
      </w:r>
      <w:r w:rsidR="008F4821">
        <w:t>s</w:t>
      </w:r>
      <w:r w:rsidR="001A64C5">
        <w:t xml:space="preserve"> and consult</w:t>
      </w:r>
      <w:r w:rsidR="008F4821">
        <w:t>s</w:t>
      </w:r>
      <w:r w:rsidR="00107051">
        <w:t xml:space="preserve"> and engages</w:t>
      </w:r>
      <w:r w:rsidR="001A64C5">
        <w:t xml:space="preserve"> on a special variation </w:t>
      </w:r>
      <w:r w:rsidR="00ED760D">
        <w:t>as part</w:t>
      </w:r>
      <w:r w:rsidR="00107051">
        <w:t xml:space="preserve"> of its</w:t>
      </w:r>
      <w:r w:rsidR="001A64C5">
        <w:t xml:space="preserve"> Integrated Planning and Reporting (IP&amp;R) process</w:t>
      </w:r>
      <w:r w:rsidR="00D63574">
        <w:t>es</w:t>
      </w:r>
      <w:r w:rsidR="00472269">
        <w:t xml:space="preserve"> </w:t>
      </w:r>
      <w:r w:rsidR="001A64C5">
        <w:t>is</w:t>
      </w:r>
      <w:r w:rsidR="00472269" w:rsidRPr="00B17EC1">
        <w:t xml:space="preserve"> </w:t>
      </w:r>
      <w:r w:rsidR="00472269">
        <w:t xml:space="preserve">fundamental to </w:t>
      </w:r>
      <w:r w:rsidR="00B83CB3">
        <w:t>our</w:t>
      </w:r>
      <w:r w:rsidR="00472269">
        <w:t xml:space="preserve"> assessment of </w:t>
      </w:r>
      <w:r w:rsidR="008F4821">
        <w:t>the</w:t>
      </w:r>
      <w:r w:rsidR="00B83CB3">
        <w:t xml:space="preserve"> </w:t>
      </w:r>
      <w:r w:rsidR="00472269" w:rsidRPr="00B17EC1">
        <w:t>application</w:t>
      </w:r>
      <w:r w:rsidR="008F4821">
        <w:t xml:space="preserve"> for a special rate variation</w:t>
      </w:r>
      <w:r w:rsidR="001F2310">
        <w:t xml:space="preserve">. </w:t>
      </w:r>
      <w:r w:rsidR="00D63574">
        <w:t xml:space="preserve"> </w:t>
      </w:r>
      <w:r w:rsidR="001F2310">
        <w:t>Such a focus is clear from</w:t>
      </w:r>
      <w:r w:rsidR="008B53CB">
        <w:t xml:space="preserve"> DLG’</w:t>
      </w:r>
      <w:r>
        <w:t xml:space="preserve">s </w:t>
      </w:r>
      <w:r w:rsidR="002022A3">
        <w:t>September</w:t>
      </w:r>
      <w:r w:rsidR="008F4821">
        <w:t xml:space="preserve"> 2013</w:t>
      </w:r>
      <w:r w:rsidR="00252942">
        <w:t xml:space="preserve"> </w:t>
      </w:r>
      <w:r w:rsidRPr="008F4821">
        <w:rPr>
          <w:i/>
        </w:rPr>
        <w:t>Guidelines</w:t>
      </w:r>
      <w:r w:rsidR="008B53CB">
        <w:t>.</w:t>
      </w:r>
    </w:p>
    <w:p w:rsidR="008F1636" w:rsidRPr="00385582" w:rsidRDefault="008F1636" w:rsidP="008F1636">
      <w:pPr>
        <w:pStyle w:val="BodyText"/>
      </w:pPr>
      <w:r w:rsidRPr="00385582">
        <w:t xml:space="preserve">The </w:t>
      </w:r>
      <w:r w:rsidR="00B54DC0" w:rsidRPr="005858DB">
        <w:t>key</w:t>
      </w:r>
      <w:r w:rsidR="00B54DC0">
        <w:t xml:space="preserve"> </w:t>
      </w:r>
      <w:r w:rsidRPr="00385582">
        <w:t xml:space="preserve">relevant </w:t>
      </w:r>
      <w:r w:rsidR="00107051">
        <w:t xml:space="preserve">IP&amp;R </w:t>
      </w:r>
      <w:r w:rsidRPr="00385582">
        <w:t xml:space="preserve">documents are the Community Strategic Plan, Delivery Program, Long Term Financial Plan and, where applicable, Asset Management Plan.  </w:t>
      </w:r>
    </w:p>
    <w:p w:rsidR="008F1636" w:rsidRDefault="008F1636" w:rsidP="008F1636">
      <w:pPr>
        <w:pStyle w:val="BodyText"/>
      </w:pPr>
      <w:r w:rsidRPr="00385582">
        <w:t>A council’s suite of IP&amp;R documents may also include supplementary and/or background publications used within its IP&amp;R processes.  As appropriate, you should refer to these documents to support your application for a special variation.</w:t>
      </w:r>
      <w:r>
        <w:t xml:space="preserve"> </w:t>
      </w:r>
    </w:p>
    <w:p w:rsidR="00F5583F" w:rsidRDefault="00F5583F" w:rsidP="00104B1C">
      <w:pPr>
        <w:pStyle w:val="BodyText"/>
      </w:pPr>
      <w:r>
        <w:t xml:space="preserve">Briefly outline how the council has </w:t>
      </w:r>
      <w:r w:rsidR="002458DB">
        <w:t>incorporated the special variation into its</w:t>
      </w:r>
      <w:r>
        <w:t xml:space="preserve"> IP&amp;R process</w:t>
      </w:r>
      <w:r w:rsidR="00D63574">
        <w:t>es</w:t>
      </w:r>
      <w:r w:rsidR="002458DB">
        <w:t>.</w:t>
      </w:r>
      <w:r w:rsidR="002022A3">
        <w:t xml:space="preserve"> </w:t>
      </w:r>
      <w:r w:rsidR="00250872">
        <w:t xml:space="preserve"> </w:t>
      </w:r>
      <w:r w:rsidR="002022A3">
        <w:t>Include</w:t>
      </w:r>
      <w:r>
        <w:t xml:space="preserve"> </w:t>
      </w:r>
      <w:r w:rsidR="00D63574">
        <w:t xml:space="preserve">details of </w:t>
      </w:r>
      <w:r w:rsidR="00BC4F05">
        <w:t xml:space="preserve">and dates for </w:t>
      </w:r>
      <w:r>
        <w:t xml:space="preserve">community consultation, </w:t>
      </w:r>
      <w:r w:rsidR="002022A3">
        <w:t>key document revisions</w:t>
      </w:r>
      <w:r>
        <w:t>, exhibition period</w:t>
      </w:r>
      <w:r w:rsidR="002022A3">
        <w:t>(s)</w:t>
      </w:r>
      <w:r>
        <w:t xml:space="preserve"> and </w:t>
      </w:r>
      <w:r w:rsidR="00D63574">
        <w:t xml:space="preserve">the </w:t>
      </w:r>
      <w:r w:rsidR="002022A3">
        <w:t>date</w:t>
      </w:r>
      <w:r w:rsidR="00D63574">
        <w:t>(s) that the council</w:t>
      </w:r>
      <w:r w:rsidR="002022A3">
        <w:t xml:space="preserve"> </w:t>
      </w:r>
      <w:r>
        <w:t>adopt</w:t>
      </w:r>
      <w:r w:rsidR="00D63574">
        <w:t xml:space="preserve">ed the relevant </w:t>
      </w:r>
      <w:r w:rsidR="002022A3">
        <w:t xml:space="preserve">IP&amp;R </w:t>
      </w:r>
      <w:r w:rsidR="00D63574">
        <w:t>documents</w:t>
      </w:r>
      <w:r>
        <w:t>.</w:t>
      </w:r>
      <w:r w:rsidR="0016644B">
        <w:t xml:space="preserve">  </w:t>
      </w:r>
    </w:p>
    <w:p w:rsidR="00327767" w:rsidRPr="00313F90" w:rsidRDefault="00327767" w:rsidP="00327767">
      <w:pPr>
        <w:rPr>
          <w:rFonts w:asciiTheme="minorHAnsi" w:hAnsiTheme="minorHAnsi"/>
          <w:b/>
          <w:sz w:val="22"/>
          <w:szCs w:val="22"/>
        </w:rPr>
      </w:pPr>
    </w:p>
    <w:p w:rsidR="00FB24BA" w:rsidRPr="00313F90" w:rsidRDefault="00327767" w:rsidP="0087778E">
      <w:pPr>
        <w:rPr>
          <w:rFonts w:asciiTheme="minorHAnsi" w:hAnsiTheme="minorHAnsi"/>
          <w:b/>
          <w:color w:val="1F497D" w:themeColor="text2"/>
          <w:sz w:val="22"/>
          <w:szCs w:val="22"/>
        </w:rPr>
      </w:pPr>
      <w:r w:rsidRPr="00313F90">
        <w:rPr>
          <w:rFonts w:asciiTheme="minorHAnsi" w:hAnsiTheme="minorHAnsi"/>
          <w:b/>
          <w:color w:val="1F497D" w:themeColor="text2"/>
          <w:sz w:val="22"/>
          <w:szCs w:val="22"/>
        </w:rPr>
        <w:t>Response:</w:t>
      </w:r>
    </w:p>
    <w:p w:rsidR="00836CDD" w:rsidRPr="008D7C80" w:rsidRDefault="00836CDD" w:rsidP="005B5D6D">
      <w:pPr>
        <w:rPr>
          <w:rFonts w:asciiTheme="minorHAnsi" w:hAnsiTheme="minorHAnsi"/>
          <w:color w:val="1F497D" w:themeColor="text2"/>
          <w:sz w:val="22"/>
          <w:szCs w:val="22"/>
        </w:rPr>
      </w:pPr>
      <w:r w:rsidRPr="00313F90">
        <w:rPr>
          <w:rFonts w:asciiTheme="minorHAnsi" w:hAnsiTheme="minorHAnsi"/>
          <w:color w:val="1F497D" w:themeColor="text2"/>
          <w:sz w:val="22"/>
          <w:szCs w:val="22"/>
        </w:rPr>
        <w:t>Blayney</w:t>
      </w:r>
      <w:r w:rsidRPr="008D7C80">
        <w:rPr>
          <w:rFonts w:asciiTheme="minorHAnsi" w:hAnsiTheme="minorHAnsi"/>
          <w:color w:val="1F497D" w:themeColor="text2"/>
          <w:sz w:val="22"/>
          <w:szCs w:val="22"/>
        </w:rPr>
        <w:t xml:space="preserve"> Shire Council was a Group 3 Council in the implementation of the Integrated Planning and </w:t>
      </w:r>
      <w:r w:rsidR="00235152" w:rsidRPr="008D7C80">
        <w:rPr>
          <w:rFonts w:asciiTheme="minorHAnsi" w:hAnsiTheme="minorHAnsi"/>
          <w:color w:val="1F497D" w:themeColor="text2"/>
          <w:sz w:val="22"/>
          <w:szCs w:val="22"/>
        </w:rPr>
        <w:t>Reporting and</w:t>
      </w:r>
      <w:r w:rsidRPr="008D7C80">
        <w:rPr>
          <w:rFonts w:asciiTheme="minorHAnsi" w:hAnsiTheme="minorHAnsi"/>
          <w:color w:val="1F497D" w:themeColor="text2"/>
          <w:sz w:val="22"/>
          <w:szCs w:val="22"/>
        </w:rPr>
        <w:t xml:space="preserve"> as such, first completed the suite of IP&amp;R documents for adoption by June 2012. In late 2011 when consultations for the IP&amp;R began, Council undertook community workshops seeking views of the community on future priorities as part of the development of the Blayney 2025 Community Strategic Plan. During these consultations it was evident that Council would be unable to fund the community’s priorities and realistic expectations had to be set. During the development of the IP&amp;R plans, Council commenced discussions with the community that we could not afford to continue to provide all services and that a Special Rate Variation (SRV) was needed to address sustainability issues and the infrastructure maintenance gap. General awareness of Council’s financial situation was increased in the community and community acceptance of a rate rise started to become evident. </w:t>
      </w:r>
    </w:p>
    <w:p w:rsidR="00836CDD" w:rsidRPr="008D7C80" w:rsidRDefault="00836CDD" w:rsidP="00235152">
      <w:pPr>
        <w:spacing w:line="276" w:lineRule="auto"/>
        <w:rPr>
          <w:rFonts w:asciiTheme="minorHAnsi" w:hAnsiTheme="minorHAnsi"/>
          <w:color w:val="1F497D" w:themeColor="text2"/>
          <w:sz w:val="22"/>
          <w:szCs w:val="22"/>
        </w:rPr>
      </w:pPr>
    </w:p>
    <w:p w:rsidR="00836CDD" w:rsidRPr="00313F90" w:rsidRDefault="00836CDD" w:rsidP="00836CDD">
      <w:pPr>
        <w:rPr>
          <w:rFonts w:asciiTheme="minorHAnsi" w:hAnsiTheme="minorHAnsi"/>
          <w:b/>
          <w:color w:val="1F497D" w:themeColor="text2"/>
          <w:sz w:val="22"/>
          <w:szCs w:val="22"/>
        </w:rPr>
      </w:pPr>
      <w:r w:rsidRPr="00313F90">
        <w:rPr>
          <w:rFonts w:asciiTheme="minorHAnsi" w:hAnsiTheme="minorHAnsi"/>
          <w:b/>
          <w:color w:val="1F497D" w:themeColor="text2"/>
          <w:sz w:val="22"/>
          <w:szCs w:val="22"/>
        </w:rPr>
        <w:t>Development of the Delivery Program</w:t>
      </w:r>
    </w:p>
    <w:p w:rsidR="00836CDD" w:rsidRPr="008D7C80" w:rsidRDefault="00836CDD" w:rsidP="00836CDD">
      <w:pPr>
        <w:rPr>
          <w:rFonts w:asciiTheme="minorHAnsi" w:hAnsiTheme="minorHAnsi"/>
          <w:color w:val="1F497D" w:themeColor="text2"/>
          <w:sz w:val="22"/>
          <w:szCs w:val="22"/>
        </w:rPr>
      </w:pPr>
      <w:r w:rsidRPr="00313F90">
        <w:rPr>
          <w:rFonts w:asciiTheme="minorHAnsi" w:hAnsiTheme="minorHAnsi"/>
          <w:color w:val="1F497D" w:themeColor="text2"/>
          <w:sz w:val="22"/>
          <w:szCs w:val="22"/>
        </w:rPr>
        <w:t xml:space="preserve">During the development of the 2012/13 – 2016/17 Delivery Program it was recognised that Council did not have sufficient funding to sustain operations long term. Council approved and was successful in obtaining a </w:t>
      </w:r>
      <w:proofErr w:type="gramStart"/>
      <w:r w:rsidRPr="00313F90">
        <w:rPr>
          <w:rFonts w:asciiTheme="minorHAnsi" w:hAnsiTheme="minorHAnsi"/>
          <w:color w:val="1F497D" w:themeColor="text2"/>
          <w:sz w:val="22"/>
          <w:szCs w:val="22"/>
        </w:rPr>
        <w:t>S.508(</w:t>
      </w:r>
      <w:proofErr w:type="gramEnd"/>
      <w:r w:rsidRPr="00313F90">
        <w:rPr>
          <w:rFonts w:asciiTheme="minorHAnsi" w:hAnsiTheme="minorHAnsi"/>
          <w:color w:val="1F497D" w:themeColor="text2"/>
          <w:sz w:val="22"/>
          <w:szCs w:val="22"/>
        </w:rPr>
        <w:t>A) permanent SRV of $</w:t>
      </w:r>
      <w:r w:rsidR="00313F90" w:rsidRPr="00313F90">
        <w:rPr>
          <w:rFonts w:asciiTheme="minorHAnsi" w:hAnsiTheme="minorHAnsi"/>
          <w:color w:val="1F497D" w:themeColor="text2"/>
          <w:sz w:val="22"/>
          <w:szCs w:val="22"/>
        </w:rPr>
        <w:t>1.7</w:t>
      </w:r>
      <w:r w:rsidRPr="00313F90">
        <w:rPr>
          <w:rFonts w:asciiTheme="minorHAnsi" w:hAnsiTheme="minorHAnsi"/>
          <w:color w:val="1F497D" w:themeColor="text2"/>
          <w:sz w:val="22"/>
          <w:szCs w:val="22"/>
        </w:rPr>
        <w:t xml:space="preserve">m or </w:t>
      </w:r>
      <w:r w:rsidR="00313F90" w:rsidRPr="00313F90">
        <w:rPr>
          <w:rFonts w:asciiTheme="minorHAnsi" w:hAnsiTheme="minorHAnsi"/>
          <w:color w:val="1F497D" w:themeColor="text2"/>
          <w:sz w:val="22"/>
          <w:szCs w:val="22"/>
        </w:rPr>
        <w:t>40.7</w:t>
      </w:r>
      <w:r w:rsidRPr="00313F90">
        <w:rPr>
          <w:rFonts w:asciiTheme="minorHAnsi" w:hAnsiTheme="minorHAnsi"/>
          <w:color w:val="1F497D" w:themeColor="text2"/>
          <w:sz w:val="22"/>
          <w:szCs w:val="22"/>
        </w:rPr>
        <w:t>% to be applied to the mining category commencing 201</w:t>
      </w:r>
      <w:r w:rsidR="00313F90" w:rsidRPr="00313F90">
        <w:rPr>
          <w:rFonts w:asciiTheme="minorHAnsi" w:hAnsiTheme="minorHAnsi"/>
          <w:color w:val="1F497D" w:themeColor="text2"/>
          <w:sz w:val="22"/>
          <w:szCs w:val="22"/>
        </w:rPr>
        <w:t>2</w:t>
      </w:r>
      <w:r w:rsidRPr="00313F90">
        <w:rPr>
          <w:rFonts w:asciiTheme="minorHAnsi" w:hAnsiTheme="minorHAnsi"/>
          <w:color w:val="1F497D" w:themeColor="text2"/>
          <w:sz w:val="22"/>
          <w:szCs w:val="22"/>
        </w:rPr>
        <w:t>/1</w:t>
      </w:r>
      <w:r w:rsidR="00313F90" w:rsidRPr="00313F90">
        <w:rPr>
          <w:rFonts w:asciiTheme="minorHAnsi" w:hAnsiTheme="minorHAnsi"/>
          <w:color w:val="1F497D" w:themeColor="text2"/>
          <w:sz w:val="22"/>
          <w:szCs w:val="22"/>
        </w:rPr>
        <w:t>3</w:t>
      </w:r>
      <w:r w:rsidRPr="00313F90">
        <w:rPr>
          <w:rFonts w:asciiTheme="minorHAnsi" w:hAnsiTheme="minorHAnsi"/>
          <w:color w:val="1F497D" w:themeColor="text2"/>
          <w:sz w:val="22"/>
          <w:szCs w:val="22"/>
        </w:rPr>
        <w:t xml:space="preserve">.  A further SRV increase of 10.3% over 7 years across all categories was also proposed </w:t>
      </w:r>
      <w:r w:rsidR="00B7092C" w:rsidRPr="00313F90">
        <w:rPr>
          <w:rFonts w:asciiTheme="minorHAnsi" w:hAnsiTheme="minorHAnsi"/>
          <w:color w:val="1F497D" w:themeColor="text2"/>
          <w:sz w:val="22"/>
          <w:szCs w:val="22"/>
        </w:rPr>
        <w:t>for commencement in</w:t>
      </w:r>
      <w:r w:rsidR="00B7092C" w:rsidRPr="008D7C80">
        <w:rPr>
          <w:rFonts w:asciiTheme="minorHAnsi" w:hAnsiTheme="minorHAnsi"/>
          <w:color w:val="1F497D" w:themeColor="text2"/>
          <w:sz w:val="22"/>
          <w:szCs w:val="22"/>
        </w:rPr>
        <w:t xml:space="preserve"> 201</w:t>
      </w:r>
      <w:r w:rsidR="00313F90">
        <w:rPr>
          <w:rFonts w:asciiTheme="minorHAnsi" w:hAnsiTheme="minorHAnsi"/>
          <w:color w:val="1F497D" w:themeColor="text2"/>
          <w:sz w:val="22"/>
          <w:szCs w:val="22"/>
        </w:rPr>
        <w:t>2</w:t>
      </w:r>
      <w:r w:rsidR="00B7092C" w:rsidRPr="008D7C80">
        <w:rPr>
          <w:rFonts w:asciiTheme="minorHAnsi" w:hAnsiTheme="minorHAnsi"/>
          <w:color w:val="1F497D" w:themeColor="text2"/>
          <w:sz w:val="22"/>
          <w:szCs w:val="22"/>
        </w:rPr>
        <w:t>/1</w:t>
      </w:r>
      <w:r w:rsidR="00313F90">
        <w:rPr>
          <w:rFonts w:asciiTheme="minorHAnsi" w:hAnsiTheme="minorHAnsi"/>
          <w:color w:val="1F497D" w:themeColor="text2"/>
          <w:sz w:val="22"/>
          <w:szCs w:val="22"/>
        </w:rPr>
        <w:t>3</w:t>
      </w:r>
      <w:r w:rsidR="00B7092C" w:rsidRPr="008D7C80">
        <w:rPr>
          <w:rFonts w:asciiTheme="minorHAnsi" w:hAnsiTheme="minorHAnsi"/>
          <w:color w:val="1F497D" w:themeColor="text2"/>
          <w:sz w:val="22"/>
          <w:szCs w:val="22"/>
        </w:rPr>
        <w:t xml:space="preserve"> </w:t>
      </w:r>
      <w:r w:rsidRPr="008D7C80">
        <w:rPr>
          <w:rFonts w:asciiTheme="minorHAnsi" w:hAnsiTheme="minorHAnsi"/>
          <w:color w:val="1F497D" w:themeColor="text2"/>
          <w:sz w:val="22"/>
          <w:szCs w:val="22"/>
        </w:rPr>
        <w:t>however was not supported by Council and did not proceed. This proposal was debated in the local media and awareness of Council’s need for more funding was highlighted throughout the community.</w:t>
      </w:r>
    </w:p>
    <w:p w:rsidR="00836CDD" w:rsidRPr="008D7C80" w:rsidRDefault="00836CDD" w:rsidP="00836CDD">
      <w:pPr>
        <w:rPr>
          <w:rFonts w:asciiTheme="minorHAnsi" w:hAnsiTheme="minorHAnsi"/>
          <w:color w:val="1F497D" w:themeColor="text2"/>
          <w:sz w:val="22"/>
          <w:szCs w:val="22"/>
        </w:rPr>
      </w:pPr>
    </w:p>
    <w:p w:rsidR="00836CDD" w:rsidRPr="008D7C80" w:rsidRDefault="00836CDD" w:rsidP="00836CDD">
      <w:pPr>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The development of the 2013/14 – 2017/18 Delivery Program proposed a SRV increase of </w:t>
      </w:r>
      <w:r w:rsidR="00482AA5" w:rsidRPr="008D7C80">
        <w:rPr>
          <w:rFonts w:asciiTheme="minorHAnsi" w:hAnsiTheme="minorHAnsi"/>
          <w:color w:val="1F497D" w:themeColor="text2"/>
          <w:sz w:val="22"/>
          <w:szCs w:val="22"/>
        </w:rPr>
        <w:t>15</w:t>
      </w:r>
      <w:r w:rsidRPr="008D7C80">
        <w:rPr>
          <w:rFonts w:asciiTheme="minorHAnsi" w:hAnsiTheme="minorHAnsi"/>
          <w:color w:val="1F497D" w:themeColor="text2"/>
          <w:sz w:val="22"/>
          <w:szCs w:val="22"/>
        </w:rPr>
        <w:t xml:space="preserve">% over </w:t>
      </w:r>
      <w:r w:rsidR="00482AA5" w:rsidRPr="008D7C80">
        <w:rPr>
          <w:rFonts w:asciiTheme="minorHAnsi" w:hAnsiTheme="minorHAnsi"/>
          <w:color w:val="1F497D" w:themeColor="text2"/>
          <w:sz w:val="22"/>
          <w:szCs w:val="22"/>
        </w:rPr>
        <w:t>6</w:t>
      </w:r>
      <w:r w:rsidRPr="008D7C80">
        <w:rPr>
          <w:rFonts w:asciiTheme="minorHAnsi" w:hAnsiTheme="minorHAnsi"/>
          <w:color w:val="1F497D" w:themeColor="text2"/>
          <w:sz w:val="22"/>
          <w:szCs w:val="22"/>
        </w:rPr>
        <w:t xml:space="preserve"> years across all categories excluding special rate variations in place commencing 2014/15.</w:t>
      </w:r>
    </w:p>
    <w:p w:rsidR="00836CDD" w:rsidRPr="008D7C80" w:rsidRDefault="00836CDD" w:rsidP="00836CDD">
      <w:pPr>
        <w:rPr>
          <w:rFonts w:asciiTheme="minorHAnsi" w:hAnsiTheme="minorHAnsi"/>
          <w:color w:val="1F497D" w:themeColor="text2"/>
          <w:sz w:val="22"/>
          <w:szCs w:val="22"/>
        </w:rPr>
      </w:pPr>
    </w:p>
    <w:p w:rsidR="00A83465" w:rsidRPr="008D7C80" w:rsidRDefault="00A83465" w:rsidP="00A83465">
      <w:pPr>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To ensure that the Community was aware of the proposed special rate variations being considered, Council held 9 community meetings </w:t>
      </w:r>
      <w:r w:rsidR="006F39FB">
        <w:rPr>
          <w:rFonts w:asciiTheme="minorHAnsi" w:hAnsiTheme="minorHAnsi"/>
          <w:color w:val="1F497D" w:themeColor="text2"/>
          <w:sz w:val="22"/>
          <w:szCs w:val="22"/>
        </w:rPr>
        <w:t>between 15 and 24</w:t>
      </w:r>
      <w:r w:rsidR="006F39FB" w:rsidRPr="008D7C80">
        <w:rPr>
          <w:rFonts w:asciiTheme="minorHAnsi" w:hAnsiTheme="minorHAnsi"/>
          <w:color w:val="1F497D" w:themeColor="text2"/>
          <w:sz w:val="22"/>
          <w:szCs w:val="22"/>
        </w:rPr>
        <w:t xml:space="preserve"> October 2013</w:t>
      </w:r>
      <w:r w:rsidR="006F39FB">
        <w:rPr>
          <w:rFonts w:asciiTheme="minorHAnsi" w:hAnsiTheme="minorHAnsi"/>
          <w:color w:val="1F497D" w:themeColor="text2"/>
          <w:sz w:val="22"/>
          <w:szCs w:val="22"/>
        </w:rPr>
        <w:t xml:space="preserve"> </w:t>
      </w:r>
      <w:r w:rsidRPr="008D7C80">
        <w:rPr>
          <w:rFonts w:asciiTheme="minorHAnsi" w:hAnsiTheme="minorHAnsi"/>
          <w:color w:val="1F497D" w:themeColor="text2"/>
          <w:sz w:val="22"/>
          <w:szCs w:val="22"/>
        </w:rPr>
        <w:t>and was able to involve over 100 people in face-to-face sessions. In all of the meetings, a presentation was given to residents outlining Council’s financial situation, the range of services and facilities that Council provides and a discussion was had with participants on the need for a SRV</w:t>
      </w:r>
      <w:r w:rsidR="005F0843" w:rsidRPr="008D7C80">
        <w:rPr>
          <w:rFonts w:asciiTheme="minorHAnsi" w:hAnsiTheme="minorHAnsi"/>
          <w:color w:val="1F497D" w:themeColor="text2"/>
          <w:sz w:val="22"/>
          <w:szCs w:val="22"/>
        </w:rPr>
        <w:t xml:space="preserve">. </w:t>
      </w:r>
      <w:r w:rsidRPr="008D7C80">
        <w:rPr>
          <w:rFonts w:asciiTheme="minorHAnsi" w:hAnsiTheme="minorHAnsi"/>
          <w:color w:val="1F497D" w:themeColor="text2"/>
          <w:sz w:val="22"/>
          <w:szCs w:val="22"/>
        </w:rPr>
        <w:t xml:space="preserve">One requested meeting </w:t>
      </w:r>
      <w:r w:rsidR="0087778E" w:rsidRPr="008D7C80">
        <w:rPr>
          <w:rFonts w:asciiTheme="minorHAnsi" w:hAnsiTheme="minorHAnsi"/>
          <w:color w:val="1F497D" w:themeColor="text2"/>
          <w:sz w:val="22"/>
          <w:szCs w:val="22"/>
        </w:rPr>
        <w:t xml:space="preserve">was also held </w:t>
      </w:r>
      <w:r w:rsidRPr="008D7C80">
        <w:rPr>
          <w:rFonts w:asciiTheme="minorHAnsi" w:hAnsiTheme="minorHAnsi"/>
          <w:color w:val="1F497D" w:themeColor="text2"/>
          <w:sz w:val="22"/>
          <w:szCs w:val="22"/>
        </w:rPr>
        <w:t xml:space="preserve">with the NSW Farmers </w:t>
      </w:r>
      <w:r w:rsidR="006F39FB">
        <w:rPr>
          <w:rFonts w:asciiTheme="minorHAnsi" w:hAnsiTheme="minorHAnsi"/>
          <w:color w:val="1F497D" w:themeColor="text2"/>
          <w:sz w:val="22"/>
          <w:szCs w:val="22"/>
        </w:rPr>
        <w:t>on</w:t>
      </w:r>
      <w:r w:rsidRPr="008D7C80">
        <w:rPr>
          <w:rFonts w:asciiTheme="minorHAnsi" w:hAnsiTheme="minorHAnsi"/>
          <w:color w:val="1F497D" w:themeColor="text2"/>
          <w:sz w:val="22"/>
          <w:szCs w:val="22"/>
        </w:rPr>
        <w:t xml:space="preserve"> 31 October 2013.</w:t>
      </w:r>
    </w:p>
    <w:p w:rsidR="00A83465" w:rsidRPr="008D7C80" w:rsidRDefault="0087778E" w:rsidP="00A83465">
      <w:pPr>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 </w:t>
      </w:r>
    </w:p>
    <w:p w:rsidR="006F39FB" w:rsidRDefault="006F39FB">
      <w:pPr>
        <w:rPr>
          <w:rFonts w:asciiTheme="minorHAnsi" w:hAnsiTheme="minorHAnsi"/>
          <w:color w:val="1F497D" w:themeColor="text2"/>
          <w:sz w:val="22"/>
          <w:szCs w:val="22"/>
        </w:rPr>
      </w:pPr>
      <w:r>
        <w:rPr>
          <w:rFonts w:asciiTheme="minorHAnsi" w:hAnsiTheme="minorHAnsi"/>
          <w:color w:val="1F497D" w:themeColor="text2"/>
          <w:sz w:val="22"/>
          <w:szCs w:val="22"/>
        </w:rPr>
        <w:br w:type="page"/>
      </w:r>
    </w:p>
    <w:p w:rsidR="00836CDD" w:rsidRPr="008D7C80" w:rsidRDefault="00836CDD" w:rsidP="00A83465">
      <w:pPr>
        <w:rPr>
          <w:rFonts w:asciiTheme="minorHAnsi" w:hAnsiTheme="minorHAnsi"/>
          <w:color w:val="1F497D" w:themeColor="text2"/>
          <w:sz w:val="22"/>
          <w:szCs w:val="22"/>
        </w:rPr>
      </w:pPr>
      <w:r w:rsidRPr="008D7C80">
        <w:rPr>
          <w:rFonts w:asciiTheme="minorHAnsi" w:hAnsiTheme="minorHAnsi"/>
          <w:color w:val="1F497D" w:themeColor="text2"/>
          <w:sz w:val="22"/>
          <w:szCs w:val="22"/>
        </w:rPr>
        <w:lastRenderedPageBreak/>
        <w:t>In these meetings Council referenced 3 options being:</w:t>
      </w:r>
    </w:p>
    <w:p w:rsidR="00A83465" w:rsidRPr="008D7C80" w:rsidRDefault="00836CDD" w:rsidP="00316A5C">
      <w:pPr>
        <w:pStyle w:val="ListParagraph"/>
        <w:numPr>
          <w:ilvl w:val="0"/>
          <w:numId w:val="28"/>
        </w:numPr>
        <w:rPr>
          <w:rFonts w:asciiTheme="minorHAnsi" w:hAnsiTheme="minorHAnsi"/>
          <w:color w:val="1F497D" w:themeColor="text2"/>
          <w:sz w:val="22"/>
          <w:szCs w:val="22"/>
        </w:rPr>
      </w:pPr>
      <w:r w:rsidRPr="008D7C80">
        <w:rPr>
          <w:rFonts w:asciiTheme="minorHAnsi" w:hAnsiTheme="minorHAnsi"/>
          <w:b/>
          <w:color w:val="1F497D" w:themeColor="text2"/>
          <w:sz w:val="22"/>
          <w:szCs w:val="22"/>
        </w:rPr>
        <w:t>Option 1:</w:t>
      </w:r>
      <w:r w:rsidR="00A83465" w:rsidRPr="008D7C80">
        <w:rPr>
          <w:rFonts w:asciiTheme="minorHAnsi" w:hAnsiTheme="minorHAnsi"/>
          <w:color w:val="1F497D" w:themeColor="text2"/>
          <w:sz w:val="22"/>
          <w:szCs w:val="22"/>
        </w:rPr>
        <w:t xml:space="preserve"> Reduced Services Model - 3.3% being the proposed rate cap each year (current situation) for all rating categories. This is subject to variation by IPART annually a</w:t>
      </w:r>
      <w:r w:rsidR="006F39FB">
        <w:rPr>
          <w:rFonts w:asciiTheme="minorHAnsi" w:hAnsiTheme="minorHAnsi"/>
          <w:color w:val="1F497D" w:themeColor="text2"/>
          <w:sz w:val="22"/>
          <w:szCs w:val="22"/>
        </w:rPr>
        <w:t>s</w:t>
      </w:r>
      <w:r w:rsidR="00A83465" w:rsidRPr="008D7C80">
        <w:rPr>
          <w:rFonts w:asciiTheme="minorHAnsi" w:hAnsiTheme="minorHAnsi"/>
          <w:color w:val="1F497D" w:themeColor="text2"/>
          <w:sz w:val="22"/>
          <w:szCs w:val="22"/>
        </w:rPr>
        <w:t xml:space="preserve"> the rate cap percentage may vary from 3.3%.</w:t>
      </w:r>
    </w:p>
    <w:p w:rsidR="00A83465" w:rsidRPr="008D7C80" w:rsidRDefault="00A83465" w:rsidP="00316A5C">
      <w:pPr>
        <w:pStyle w:val="Default"/>
        <w:numPr>
          <w:ilvl w:val="0"/>
          <w:numId w:val="28"/>
        </w:numPr>
        <w:rPr>
          <w:rFonts w:asciiTheme="minorHAnsi" w:hAnsiTheme="minorHAnsi"/>
          <w:color w:val="1F497D" w:themeColor="text2"/>
          <w:sz w:val="22"/>
          <w:szCs w:val="22"/>
        </w:rPr>
      </w:pPr>
      <w:r w:rsidRPr="008D7C80">
        <w:rPr>
          <w:rFonts w:asciiTheme="minorHAnsi" w:hAnsiTheme="minorHAnsi"/>
          <w:b/>
          <w:color w:val="1F497D" w:themeColor="text2"/>
          <w:sz w:val="22"/>
          <w:szCs w:val="22"/>
        </w:rPr>
        <w:t>Option 2:</w:t>
      </w:r>
      <w:r w:rsidRPr="008D7C80">
        <w:rPr>
          <w:rFonts w:asciiTheme="minorHAnsi" w:hAnsiTheme="minorHAnsi"/>
          <w:color w:val="1F497D" w:themeColor="text2"/>
          <w:sz w:val="22"/>
          <w:szCs w:val="22"/>
        </w:rPr>
        <w:t xml:space="preserve"> Maintain Model – 10.0% per annum over 4 years (cumulative and permanent) for all rating categories which includes the rate cap proposed by IPART annually.</w:t>
      </w:r>
    </w:p>
    <w:p w:rsidR="00A83465" w:rsidRPr="008D7C80" w:rsidRDefault="00A83465" w:rsidP="00316A5C">
      <w:pPr>
        <w:pStyle w:val="Default"/>
        <w:numPr>
          <w:ilvl w:val="0"/>
          <w:numId w:val="28"/>
        </w:numPr>
        <w:rPr>
          <w:rFonts w:asciiTheme="minorHAnsi" w:hAnsiTheme="minorHAnsi"/>
          <w:color w:val="1F497D" w:themeColor="text2"/>
          <w:sz w:val="22"/>
          <w:szCs w:val="22"/>
        </w:rPr>
      </w:pPr>
      <w:r w:rsidRPr="008D7C80">
        <w:rPr>
          <w:rFonts w:asciiTheme="minorHAnsi" w:hAnsiTheme="minorHAnsi"/>
          <w:b/>
          <w:color w:val="1F497D" w:themeColor="text2"/>
          <w:sz w:val="22"/>
          <w:szCs w:val="22"/>
        </w:rPr>
        <w:t>Option 3:</w:t>
      </w:r>
      <w:r w:rsidRPr="008D7C80">
        <w:rPr>
          <w:rFonts w:asciiTheme="minorHAnsi" w:hAnsiTheme="minorHAnsi"/>
          <w:color w:val="1F497D" w:themeColor="text2"/>
          <w:sz w:val="22"/>
          <w:szCs w:val="22"/>
        </w:rPr>
        <w:t xml:space="preserve"> Road to Infrastructure Improvement Model -15% per annum over 6 years (cumulative and permanent) for all rating categories which includes the rate cap proposed by IPART annually.</w:t>
      </w:r>
    </w:p>
    <w:p w:rsidR="00921B41" w:rsidRPr="009A31CD" w:rsidRDefault="00921B41" w:rsidP="00921B41">
      <w:pPr>
        <w:rPr>
          <w:rFonts w:asciiTheme="minorHAnsi" w:hAnsiTheme="minorHAnsi"/>
          <w:b/>
          <w:color w:val="1F497D" w:themeColor="text2"/>
          <w:sz w:val="16"/>
          <w:szCs w:val="16"/>
        </w:rPr>
      </w:pPr>
    </w:p>
    <w:p w:rsidR="00A83465" w:rsidRPr="008D7C80" w:rsidRDefault="00921B41" w:rsidP="00921B41">
      <w:pPr>
        <w:rPr>
          <w:rFonts w:asciiTheme="minorHAnsi" w:hAnsiTheme="minorHAnsi"/>
          <w:color w:val="1F497D" w:themeColor="text2"/>
          <w:sz w:val="22"/>
          <w:szCs w:val="22"/>
        </w:rPr>
      </w:pPr>
      <w:r w:rsidRPr="008D7C80">
        <w:rPr>
          <w:rFonts w:asciiTheme="minorHAnsi" w:hAnsiTheme="minorHAnsi"/>
          <w:b/>
          <w:color w:val="1F497D" w:themeColor="text2"/>
          <w:sz w:val="22"/>
          <w:szCs w:val="22"/>
        </w:rPr>
        <w:t>Consultation with the Community</w:t>
      </w:r>
    </w:p>
    <w:p w:rsidR="00A83465" w:rsidRPr="008D7C80" w:rsidRDefault="00A83465" w:rsidP="00A83465">
      <w:pPr>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The proposed models have been discussed with the community and the information has been made available to inform the residents of the limitations to future budgets around each service model. The community has expressed an expectation that the elected Councillors will ensure that assets are maintained to a reasonable standard and that improvements are made to reduce long term deterioration. A </w:t>
      </w:r>
      <w:r w:rsidR="00D44816">
        <w:rPr>
          <w:rFonts w:asciiTheme="minorHAnsi" w:hAnsiTheme="minorHAnsi"/>
          <w:color w:val="1F497D" w:themeColor="text2"/>
          <w:sz w:val="22"/>
          <w:szCs w:val="22"/>
        </w:rPr>
        <w:t xml:space="preserve">special rate variation </w:t>
      </w:r>
      <w:r w:rsidRPr="008D7C80">
        <w:rPr>
          <w:rFonts w:asciiTheme="minorHAnsi" w:hAnsiTheme="minorHAnsi"/>
          <w:color w:val="1F497D" w:themeColor="text2"/>
          <w:sz w:val="22"/>
          <w:szCs w:val="22"/>
        </w:rPr>
        <w:t>is required to ensure that we do not down grade assets and those services will be available to future generations.</w:t>
      </w:r>
    </w:p>
    <w:p w:rsidR="00A83465" w:rsidRPr="009A31CD" w:rsidRDefault="00A83465" w:rsidP="00A83465">
      <w:pPr>
        <w:rPr>
          <w:rFonts w:asciiTheme="minorHAnsi" w:hAnsiTheme="minorHAnsi"/>
          <w:color w:val="1F497D" w:themeColor="text2"/>
          <w:sz w:val="16"/>
          <w:szCs w:val="16"/>
        </w:rPr>
      </w:pPr>
    </w:p>
    <w:p w:rsidR="00D44816" w:rsidRPr="008D7C80" w:rsidRDefault="00D44816" w:rsidP="00D44816">
      <w:pPr>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Council has provided information on its website, Facebook and Twitter accounts and has included the </w:t>
      </w:r>
      <w:r w:rsidR="009A31CD">
        <w:rPr>
          <w:rFonts w:asciiTheme="minorHAnsi" w:hAnsiTheme="minorHAnsi"/>
          <w:color w:val="1F497D" w:themeColor="text2"/>
          <w:sz w:val="22"/>
          <w:szCs w:val="22"/>
        </w:rPr>
        <w:t xml:space="preserve">special rate variation </w:t>
      </w:r>
      <w:r w:rsidRPr="008D7C80">
        <w:rPr>
          <w:rFonts w:asciiTheme="minorHAnsi" w:hAnsiTheme="minorHAnsi"/>
          <w:color w:val="1F497D" w:themeColor="text2"/>
          <w:sz w:val="22"/>
          <w:szCs w:val="22"/>
        </w:rPr>
        <w:t xml:space="preserve">in the community newsletter posted to all ratepayers. The </w:t>
      </w:r>
      <w:r>
        <w:rPr>
          <w:rFonts w:asciiTheme="minorHAnsi" w:hAnsiTheme="minorHAnsi"/>
          <w:color w:val="1F497D" w:themeColor="text2"/>
          <w:sz w:val="22"/>
          <w:szCs w:val="22"/>
        </w:rPr>
        <w:t>special rate variation</w:t>
      </w:r>
      <w:r w:rsidRPr="008D7C80">
        <w:rPr>
          <w:rFonts w:asciiTheme="minorHAnsi" w:hAnsiTheme="minorHAnsi"/>
          <w:color w:val="1F497D" w:themeColor="text2"/>
          <w:sz w:val="22"/>
          <w:szCs w:val="22"/>
        </w:rPr>
        <w:t xml:space="preserve"> has also been reported in the local media. Further, Council placed a rates calculator on its website to assist ratepayers to assess its impact. </w:t>
      </w:r>
    </w:p>
    <w:p w:rsidR="00D44816" w:rsidRPr="009A31CD" w:rsidRDefault="00D44816" w:rsidP="00A83465">
      <w:pPr>
        <w:rPr>
          <w:rFonts w:asciiTheme="minorHAnsi" w:hAnsiTheme="minorHAnsi"/>
          <w:color w:val="1F497D" w:themeColor="text2"/>
          <w:sz w:val="16"/>
          <w:szCs w:val="16"/>
        </w:rPr>
      </w:pPr>
    </w:p>
    <w:p w:rsidR="00D44816" w:rsidRDefault="00D44816" w:rsidP="00A83465">
      <w:pPr>
        <w:rPr>
          <w:rFonts w:asciiTheme="minorHAnsi" w:hAnsiTheme="minorHAnsi"/>
          <w:color w:val="1F497D" w:themeColor="text2"/>
          <w:sz w:val="22"/>
          <w:szCs w:val="22"/>
        </w:rPr>
      </w:pPr>
      <w:r>
        <w:rPr>
          <w:rFonts w:asciiTheme="minorHAnsi" w:hAnsiTheme="minorHAnsi"/>
          <w:color w:val="1F497D" w:themeColor="text2"/>
          <w:sz w:val="22"/>
          <w:szCs w:val="22"/>
        </w:rPr>
        <w:t xml:space="preserve">A community survey was undertaken in September 2013 on the Future Funding of Services in the Blayney Shire. The </w:t>
      </w:r>
      <w:r w:rsidR="007A1046">
        <w:rPr>
          <w:rFonts w:asciiTheme="minorHAnsi" w:hAnsiTheme="minorHAnsi"/>
          <w:color w:val="1F497D" w:themeColor="text2"/>
          <w:sz w:val="22"/>
          <w:szCs w:val="22"/>
        </w:rPr>
        <w:t xml:space="preserve">survey analytics are attached and </w:t>
      </w:r>
      <w:r>
        <w:rPr>
          <w:rFonts w:asciiTheme="minorHAnsi" w:hAnsiTheme="minorHAnsi"/>
          <w:color w:val="1F497D" w:themeColor="text2"/>
          <w:sz w:val="22"/>
          <w:szCs w:val="22"/>
        </w:rPr>
        <w:t xml:space="preserve">key outcomes of the survey </w:t>
      </w:r>
      <w:r w:rsidR="0097207B">
        <w:rPr>
          <w:rFonts w:asciiTheme="minorHAnsi" w:hAnsiTheme="minorHAnsi"/>
          <w:color w:val="1F497D" w:themeColor="text2"/>
          <w:sz w:val="22"/>
          <w:szCs w:val="22"/>
        </w:rPr>
        <w:t>are shown below</w:t>
      </w:r>
      <w:r w:rsidR="005248D2">
        <w:rPr>
          <w:rFonts w:asciiTheme="minorHAnsi" w:hAnsiTheme="minorHAnsi"/>
          <w:color w:val="1F497D" w:themeColor="text2"/>
          <w:sz w:val="22"/>
          <w:szCs w:val="22"/>
        </w:rPr>
        <w:t xml:space="preserve">: </w:t>
      </w:r>
    </w:p>
    <w:p w:rsidR="007A1046" w:rsidRPr="00C430F7" w:rsidRDefault="007A1046" w:rsidP="0097207B">
      <w:pPr>
        <w:rPr>
          <w:rFonts w:asciiTheme="minorHAnsi" w:hAnsiTheme="minorHAnsi" w:cs="Arial"/>
          <w:bCs/>
          <w:i/>
          <w:color w:val="1F497D" w:themeColor="text2"/>
          <w:sz w:val="16"/>
          <w:szCs w:val="16"/>
          <w:u w:val="single"/>
          <w:lang w:val="en-US"/>
        </w:rPr>
      </w:pPr>
    </w:p>
    <w:p w:rsidR="0097207B" w:rsidRPr="0097207B" w:rsidRDefault="0097207B" w:rsidP="007A1046">
      <w:pPr>
        <w:ind w:left="284"/>
        <w:rPr>
          <w:rFonts w:asciiTheme="minorHAnsi" w:hAnsiTheme="minorHAnsi" w:cs="Arial"/>
          <w:bCs/>
          <w:i/>
          <w:color w:val="1F497D" w:themeColor="text2"/>
          <w:sz w:val="22"/>
          <w:szCs w:val="22"/>
          <w:u w:val="single"/>
          <w:lang w:val="en-US"/>
        </w:rPr>
      </w:pPr>
      <w:r w:rsidRPr="0097207B">
        <w:rPr>
          <w:rFonts w:asciiTheme="minorHAnsi" w:hAnsiTheme="minorHAnsi" w:cs="Arial"/>
          <w:bCs/>
          <w:i/>
          <w:color w:val="1F497D" w:themeColor="text2"/>
          <w:sz w:val="22"/>
          <w:szCs w:val="22"/>
          <w:u w:val="single"/>
          <w:lang w:val="en-US"/>
        </w:rPr>
        <w:t>Most Important Service Activities</w:t>
      </w:r>
    </w:p>
    <w:p w:rsidR="0097207B" w:rsidRPr="0097207B" w:rsidRDefault="0097207B" w:rsidP="007A1046">
      <w:pPr>
        <w:ind w:left="284"/>
        <w:rPr>
          <w:rFonts w:asciiTheme="minorHAnsi" w:hAnsiTheme="minorHAnsi"/>
          <w:i/>
          <w:color w:val="1F497D" w:themeColor="text2"/>
          <w:sz w:val="22"/>
          <w:szCs w:val="22"/>
          <w:lang w:val="en-US"/>
        </w:rPr>
      </w:pPr>
      <w:r w:rsidRPr="0097207B">
        <w:rPr>
          <w:rFonts w:asciiTheme="minorHAnsi" w:hAnsiTheme="minorHAnsi"/>
          <w:i/>
          <w:color w:val="1F497D" w:themeColor="text2"/>
          <w:sz w:val="22"/>
          <w:szCs w:val="22"/>
          <w:lang w:val="en-US"/>
        </w:rPr>
        <w:t>The top 5 service delivery items, as identified by the community, were ranked as follows (highest to lowest):</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1.</w:t>
      </w:r>
      <w:r w:rsidRPr="0097207B">
        <w:rPr>
          <w:rFonts w:asciiTheme="minorHAnsi" w:hAnsiTheme="minorHAnsi" w:cs="Arial"/>
          <w:i/>
          <w:color w:val="1F497D" w:themeColor="text2"/>
          <w:sz w:val="22"/>
          <w:szCs w:val="22"/>
        </w:rPr>
        <w:tab/>
        <w:t>Local Roads</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2.</w:t>
      </w:r>
      <w:r w:rsidRPr="0097207B">
        <w:rPr>
          <w:rFonts w:asciiTheme="minorHAnsi" w:hAnsiTheme="minorHAnsi" w:cs="Arial"/>
          <w:i/>
          <w:color w:val="1F497D" w:themeColor="text2"/>
          <w:sz w:val="22"/>
          <w:szCs w:val="22"/>
        </w:rPr>
        <w:tab/>
        <w:t>Helpful (Council) Staff</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3.</w:t>
      </w:r>
      <w:r w:rsidRPr="0097207B">
        <w:rPr>
          <w:rFonts w:asciiTheme="minorHAnsi" w:hAnsiTheme="minorHAnsi" w:cs="Arial"/>
          <w:i/>
          <w:color w:val="1F497D" w:themeColor="text2"/>
          <w:sz w:val="22"/>
          <w:szCs w:val="22"/>
        </w:rPr>
        <w:tab/>
        <w:t>Clean Food Shops and Restaurants</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4.</w:t>
      </w:r>
      <w:r w:rsidRPr="0097207B">
        <w:rPr>
          <w:rFonts w:asciiTheme="minorHAnsi" w:hAnsiTheme="minorHAnsi" w:cs="Arial"/>
          <w:i/>
          <w:color w:val="1F497D" w:themeColor="text2"/>
          <w:sz w:val="22"/>
          <w:szCs w:val="22"/>
        </w:rPr>
        <w:tab/>
        <w:t>Order and Cleanliness</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5.</w:t>
      </w:r>
      <w:r w:rsidRPr="0097207B">
        <w:rPr>
          <w:rFonts w:asciiTheme="minorHAnsi" w:hAnsiTheme="minorHAnsi" w:cs="Arial"/>
          <w:i/>
          <w:color w:val="1F497D" w:themeColor="text2"/>
          <w:sz w:val="22"/>
          <w:szCs w:val="22"/>
        </w:rPr>
        <w:tab/>
        <w:t>(Standard) of Public Toilets</w:t>
      </w:r>
    </w:p>
    <w:p w:rsidR="0097207B" w:rsidRPr="00C430F7" w:rsidRDefault="0097207B" w:rsidP="007A1046">
      <w:pPr>
        <w:spacing w:after="160" w:line="256" w:lineRule="auto"/>
        <w:ind w:left="644" w:hanging="360"/>
        <w:contextualSpacing/>
        <w:rPr>
          <w:rFonts w:asciiTheme="minorHAnsi" w:hAnsiTheme="minorHAnsi" w:cs="Arial"/>
          <w:i/>
          <w:color w:val="1F497D" w:themeColor="text2"/>
          <w:sz w:val="16"/>
          <w:szCs w:val="16"/>
        </w:rPr>
      </w:pPr>
    </w:p>
    <w:p w:rsidR="0097207B" w:rsidRPr="0097207B" w:rsidRDefault="0097207B" w:rsidP="007A1046">
      <w:pPr>
        <w:keepNext/>
        <w:ind w:left="284"/>
        <w:outlineLvl w:val="2"/>
        <w:rPr>
          <w:rFonts w:asciiTheme="minorHAnsi" w:hAnsiTheme="minorHAnsi" w:cs="Arial"/>
          <w:bCs/>
          <w:i/>
          <w:color w:val="1F497D" w:themeColor="text2"/>
          <w:sz w:val="22"/>
          <w:szCs w:val="22"/>
          <w:lang w:val="en-US"/>
        </w:rPr>
      </w:pPr>
      <w:r w:rsidRPr="0097207B">
        <w:rPr>
          <w:rFonts w:asciiTheme="minorHAnsi" w:hAnsiTheme="minorHAnsi" w:cs="Arial"/>
          <w:bCs/>
          <w:i/>
          <w:color w:val="1F497D" w:themeColor="text2"/>
          <w:sz w:val="22"/>
          <w:szCs w:val="22"/>
          <w:u w:val="single"/>
          <w:lang w:val="en-US"/>
        </w:rPr>
        <w:t>Greatest Satisfaction with Council’s Service provision</w:t>
      </w:r>
      <w:r w:rsidRPr="0097207B">
        <w:rPr>
          <w:rFonts w:asciiTheme="minorHAnsi" w:hAnsiTheme="minorHAnsi" w:cs="Arial"/>
          <w:bCs/>
          <w:i/>
          <w:color w:val="1F497D" w:themeColor="text2"/>
          <w:sz w:val="22"/>
          <w:szCs w:val="22"/>
          <w:u w:val="single"/>
          <w:lang w:val="en-US"/>
        </w:rPr>
        <w:br/>
      </w:r>
      <w:proofErr w:type="gramStart"/>
      <w:r w:rsidRPr="0097207B">
        <w:rPr>
          <w:rFonts w:asciiTheme="minorHAnsi" w:hAnsiTheme="minorHAnsi" w:cs="Arial"/>
          <w:bCs/>
          <w:i/>
          <w:color w:val="1F497D" w:themeColor="text2"/>
          <w:sz w:val="22"/>
          <w:szCs w:val="22"/>
          <w:lang w:val="en-US"/>
        </w:rPr>
        <w:t>Those</w:t>
      </w:r>
      <w:proofErr w:type="gramEnd"/>
      <w:r w:rsidRPr="0097207B">
        <w:rPr>
          <w:rFonts w:asciiTheme="minorHAnsi" w:hAnsiTheme="minorHAnsi" w:cs="Arial"/>
          <w:bCs/>
          <w:i/>
          <w:color w:val="1F497D" w:themeColor="text2"/>
          <w:sz w:val="22"/>
          <w:szCs w:val="22"/>
          <w:lang w:val="en-US"/>
        </w:rPr>
        <w:t xml:space="preserve"> services achieving the highest level of satisfaction were:</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1.</w:t>
      </w:r>
      <w:r w:rsidRPr="0097207B">
        <w:rPr>
          <w:rFonts w:asciiTheme="minorHAnsi" w:hAnsiTheme="minorHAnsi" w:cs="Arial"/>
          <w:i/>
          <w:color w:val="1F497D" w:themeColor="text2"/>
          <w:sz w:val="22"/>
          <w:szCs w:val="22"/>
        </w:rPr>
        <w:tab/>
        <w:t>Parks and Gardens</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2.</w:t>
      </w:r>
      <w:r w:rsidRPr="0097207B">
        <w:rPr>
          <w:rFonts w:asciiTheme="minorHAnsi" w:hAnsiTheme="minorHAnsi" w:cs="Arial"/>
          <w:i/>
          <w:color w:val="1F497D" w:themeColor="text2"/>
          <w:sz w:val="22"/>
          <w:szCs w:val="22"/>
        </w:rPr>
        <w:tab/>
        <w:t>Rubbish Tips and Recycling</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3.</w:t>
      </w:r>
      <w:r w:rsidRPr="0097207B">
        <w:rPr>
          <w:rFonts w:asciiTheme="minorHAnsi" w:hAnsiTheme="minorHAnsi" w:cs="Arial"/>
          <w:i/>
          <w:color w:val="1F497D" w:themeColor="text2"/>
          <w:sz w:val="22"/>
          <w:szCs w:val="22"/>
        </w:rPr>
        <w:tab/>
        <w:t>Helpful Staff</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4.</w:t>
      </w:r>
      <w:r w:rsidRPr="0097207B">
        <w:rPr>
          <w:rFonts w:asciiTheme="minorHAnsi" w:hAnsiTheme="minorHAnsi" w:cs="Arial"/>
          <w:i/>
          <w:color w:val="1F497D" w:themeColor="text2"/>
          <w:sz w:val="22"/>
          <w:szCs w:val="22"/>
        </w:rPr>
        <w:tab/>
        <w:t>Sewer Services</w:t>
      </w:r>
    </w:p>
    <w:p w:rsid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5.</w:t>
      </w:r>
      <w:r w:rsidRPr="0097207B">
        <w:rPr>
          <w:rFonts w:asciiTheme="minorHAnsi" w:hAnsiTheme="minorHAnsi" w:cs="Arial"/>
          <w:i/>
          <w:color w:val="1F497D" w:themeColor="text2"/>
          <w:sz w:val="22"/>
          <w:szCs w:val="22"/>
        </w:rPr>
        <w:tab/>
        <w:t>Library</w:t>
      </w:r>
    </w:p>
    <w:p w:rsidR="00C430F7" w:rsidRPr="00C430F7" w:rsidRDefault="00C430F7" w:rsidP="007A1046">
      <w:pPr>
        <w:spacing w:after="160" w:line="256" w:lineRule="auto"/>
        <w:ind w:left="644" w:hanging="360"/>
        <w:contextualSpacing/>
        <w:rPr>
          <w:rFonts w:asciiTheme="minorHAnsi" w:hAnsiTheme="minorHAnsi" w:cs="Arial"/>
          <w:i/>
          <w:color w:val="1F497D" w:themeColor="text2"/>
          <w:sz w:val="16"/>
          <w:szCs w:val="16"/>
        </w:rPr>
      </w:pPr>
    </w:p>
    <w:p w:rsidR="0097207B" w:rsidRPr="0097207B" w:rsidRDefault="0097207B" w:rsidP="007A1046">
      <w:pPr>
        <w:keepNext/>
        <w:ind w:left="284"/>
        <w:outlineLvl w:val="2"/>
        <w:rPr>
          <w:rFonts w:asciiTheme="minorHAnsi" w:hAnsiTheme="minorHAnsi" w:cs="Arial"/>
          <w:bCs/>
          <w:i/>
          <w:color w:val="1F497D" w:themeColor="text2"/>
          <w:sz w:val="22"/>
          <w:szCs w:val="22"/>
          <w:lang w:val="en-US"/>
        </w:rPr>
      </w:pPr>
      <w:r w:rsidRPr="0097207B">
        <w:rPr>
          <w:rFonts w:asciiTheme="minorHAnsi" w:hAnsiTheme="minorHAnsi" w:cs="Arial"/>
          <w:bCs/>
          <w:i/>
          <w:color w:val="1F497D" w:themeColor="text2"/>
          <w:sz w:val="22"/>
          <w:szCs w:val="22"/>
          <w:u w:val="single"/>
          <w:lang w:val="en-US"/>
        </w:rPr>
        <w:t>Greatest Level of Dissatisfaction with the provision of Council Services</w:t>
      </w:r>
      <w:r w:rsidRPr="0097207B">
        <w:rPr>
          <w:rFonts w:asciiTheme="minorHAnsi" w:hAnsiTheme="minorHAnsi" w:cs="Arial"/>
          <w:bCs/>
          <w:i/>
          <w:color w:val="1F497D" w:themeColor="text2"/>
          <w:sz w:val="22"/>
          <w:szCs w:val="22"/>
          <w:u w:val="single"/>
          <w:lang w:val="en-US"/>
        </w:rPr>
        <w:br/>
      </w:r>
      <w:r w:rsidRPr="0097207B">
        <w:rPr>
          <w:rFonts w:asciiTheme="minorHAnsi" w:hAnsiTheme="minorHAnsi" w:cs="Arial"/>
          <w:bCs/>
          <w:i/>
          <w:color w:val="1F497D" w:themeColor="text2"/>
          <w:sz w:val="22"/>
          <w:szCs w:val="22"/>
          <w:lang w:val="en-US"/>
        </w:rPr>
        <w:t>In contrast, the greatest level of ‘Dissatisfaction’ with the provision of Council Services was ranked as follows (from most dissatisfied to less dissatisfied):</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1.</w:t>
      </w:r>
      <w:r w:rsidRPr="0097207B">
        <w:rPr>
          <w:rFonts w:asciiTheme="minorHAnsi" w:hAnsiTheme="minorHAnsi" w:cs="Arial"/>
          <w:i/>
          <w:color w:val="1F497D" w:themeColor="text2"/>
          <w:sz w:val="22"/>
          <w:szCs w:val="22"/>
        </w:rPr>
        <w:tab/>
        <w:t>Local Roads</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2.</w:t>
      </w:r>
      <w:r w:rsidRPr="0097207B">
        <w:rPr>
          <w:rFonts w:asciiTheme="minorHAnsi" w:hAnsiTheme="minorHAnsi" w:cs="Arial"/>
          <w:i/>
          <w:color w:val="1F497D" w:themeColor="text2"/>
          <w:sz w:val="22"/>
          <w:szCs w:val="22"/>
        </w:rPr>
        <w:tab/>
        <w:t>Development and Building Approvals</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3.</w:t>
      </w:r>
      <w:r w:rsidRPr="0097207B">
        <w:rPr>
          <w:rFonts w:asciiTheme="minorHAnsi" w:hAnsiTheme="minorHAnsi" w:cs="Arial"/>
          <w:i/>
          <w:color w:val="1F497D" w:themeColor="text2"/>
          <w:sz w:val="22"/>
          <w:szCs w:val="22"/>
        </w:rPr>
        <w:tab/>
        <w:t>Footpaths</w:t>
      </w:r>
    </w:p>
    <w:p w:rsidR="0097207B" w:rsidRP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4.</w:t>
      </w:r>
      <w:r w:rsidRPr="0097207B">
        <w:rPr>
          <w:rFonts w:asciiTheme="minorHAnsi" w:hAnsiTheme="minorHAnsi" w:cs="Arial"/>
          <w:i/>
          <w:color w:val="1F497D" w:themeColor="text2"/>
          <w:sz w:val="22"/>
          <w:szCs w:val="22"/>
        </w:rPr>
        <w:tab/>
        <w:t>Animal and Pest Control</w:t>
      </w:r>
    </w:p>
    <w:p w:rsidR="0097207B" w:rsidRDefault="0097207B" w:rsidP="007A1046">
      <w:pPr>
        <w:spacing w:after="160" w:line="256" w:lineRule="auto"/>
        <w:ind w:left="644" w:hanging="360"/>
        <w:contextualSpacing/>
        <w:rPr>
          <w:rFonts w:asciiTheme="minorHAnsi" w:hAnsiTheme="minorHAnsi" w:cs="Arial"/>
          <w:i/>
          <w:color w:val="1F497D" w:themeColor="text2"/>
          <w:sz w:val="22"/>
          <w:szCs w:val="22"/>
        </w:rPr>
      </w:pPr>
      <w:r w:rsidRPr="0097207B">
        <w:rPr>
          <w:rFonts w:asciiTheme="minorHAnsi" w:hAnsiTheme="minorHAnsi" w:cs="Arial"/>
          <w:i/>
          <w:color w:val="1F497D" w:themeColor="text2"/>
          <w:sz w:val="22"/>
          <w:szCs w:val="22"/>
        </w:rPr>
        <w:t>5.</w:t>
      </w:r>
      <w:r w:rsidRPr="0097207B">
        <w:rPr>
          <w:rFonts w:asciiTheme="minorHAnsi" w:hAnsiTheme="minorHAnsi" w:cs="Arial"/>
          <w:i/>
          <w:color w:val="1F497D" w:themeColor="text2"/>
          <w:sz w:val="22"/>
          <w:szCs w:val="22"/>
        </w:rPr>
        <w:tab/>
        <w:t>Bridges</w:t>
      </w:r>
    </w:p>
    <w:p w:rsidR="005248D2" w:rsidRPr="005248D2" w:rsidRDefault="005248D2" w:rsidP="007A1046">
      <w:pPr>
        <w:ind w:left="284"/>
        <w:rPr>
          <w:rFonts w:asciiTheme="minorHAnsi" w:hAnsiTheme="minorHAnsi"/>
          <w:color w:val="1F497D" w:themeColor="text2"/>
          <w:sz w:val="16"/>
          <w:szCs w:val="16"/>
        </w:rPr>
      </w:pPr>
      <w:r w:rsidRPr="005248D2">
        <w:rPr>
          <w:rFonts w:asciiTheme="minorHAnsi" w:hAnsiTheme="minorHAnsi"/>
          <w:color w:val="1F497D" w:themeColor="text2"/>
          <w:sz w:val="16"/>
          <w:szCs w:val="16"/>
        </w:rPr>
        <w:t>(Source: 11 November</w:t>
      </w:r>
      <w:r>
        <w:rPr>
          <w:rFonts w:asciiTheme="minorHAnsi" w:hAnsiTheme="minorHAnsi"/>
          <w:color w:val="1F497D" w:themeColor="text2"/>
          <w:sz w:val="16"/>
          <w:szCs w:val="16"/>
        </w:rPr>
        <w:t xml:space="preserve"> 2013 </w:t>
      </w:r>
      <w:r w:rsidRPr="005248D2">
        <w:rPr>
          <w:rFonts w:asciiTheme="minorHAnsi" w:hAnsiTheme="minorHAnsi"/>
          <w:color w:val="1F497D" w:themeColor="text2"/>
          <w:sz w:val="16"/>
          <w:szCs w:val="16"/>
        </w:rPr>
        <w:t>Council Business Paper).</w:t>
      </w:r>
    </w:p>
    <w:p w:rsidR="00A83465" w:rsidRPr="008D7C80" w:rsidRDefault="00A83465" w:rsidP="00A83465">
      <w:pPr>
        <w:rPr>
          <w:rFonts w:asciiTheme="minorHAnsi" w:hAnsiTheme="minorHAnsi"/>
          <w:color w:val="1F497D" w:themeColor="text2"/>
          <w:sz w:val="22"/>
          <w:szCs w:val="22"/>
        </w:rPr>
      </w:pPr>
      <w:r w:rsidRPr="008D7C80">
        <w:rPr>
          <w:rFonts w:asciiTheme="minorHAnsi" w:hAnsiTheme="minorHAnsi"/>
          <w:color w:val="1F497D" w:themeColor="text2"/>
          <w:sz w:val="22"/>
          <w:szCs w:val="22"/>
        </w:rPr>
        <w:lastRenderedPageBreak/>
        <w:t xml:space="preserve">The community was provided with an overview of the special rate variations and Council’s reasoning for consideration of the need for these. A handout was provided to all community members </w:t>
      </w:r>
      <w:r w:rsidR="00D44816">
        <w:rPr>
          <w:rFonts w:asciiTheme="minorHAnsi" w:hAnsiTheme="minorHAnsi"/>
          <w:color w:val="1F497D" w:themeColor="text2"/>
          <w:sz w:val="22"/>
          <w:szCs w:val="22"/>
        </w:rPr>
        <w:t xml:space="preserve">in attendance at meetings held </w:t>
      </w:r>
      <w:r w:rsidRPr="008D7C80">
        <w:rPr>
          <w:rFonts w:asciiTheme="minorHAnsi" w:hAnsiTheme="minorHAnsi"/>
          <w:color w:val="1F497D" w:themeColor="text2"/>
          <w:sz w:val="22"/>
          <w:szCs w:val="22"/>
        </w:rPr>
        <w:t xml:space="preserve">and the community was encouraged to ask questions on the </w:t>
      </w:r>
      <w:r w:rsidR="00D44816">
        <w:rPr>
          <w:rFonts w:asciiTheme="minorHAnsi" w:hAnsiTheme="minorHAnsi"/>
          <w:color w:val="1F497D" w:themeColor="text2"/>
          <w:sz w:val="22"/>
          <w:szCs w:val="22"/>
        </w:rPr>
        <w:t>special rate variation</w:t>
      </w:r>
      <w:r w:rsidRPr="008D7C80">
        <w:rPr>
          <w:rFonts w:asciiTheme="minorHAnsi" w:hAnsiTheme="minorHAnsi"/>
          <w:color w:val="1F497D" w:themeColor="text2"/>
          <w:sz w:val="22"/>
          <w:szCs w:val="22"/>
        </w:rPr>
        <w:t>.</w:t>
      </w:r>
    </w:p>
    <w:p w:rsidR="00A83465" w:rsidRPr="008D7C80" w:rsidRDefault="00A83465" w:rsidP="00A83465">
      <w:pPr>
        <w:rPr>
          <w:rFonts w:asciiTheme="minorHAnsi" w:hAnsiTheme="minorHAnsi"/>
          <w:color w:val="1F497D" w:themeColor="text2"/>
          <w:sz w:val="22"/>
          <w:szCs w:val="22"/>
        </w:rPr>
      </w:pPr>
    </w:p>
    <w:p w:rsidR="00A83465" w:rsidRPr="008D7C80" w:rsidRDefault="00A83465" w:rsidP="00A83465">
      <w:pPr>
        <w:rPr>
          <w:rFonts w:asciiTheme="minorHAnsi" w:hAnsiTheme="minorHAnsi"/>
          <w:color w:val="1F497D" w:themeColor="text2"/>
          <w:sz w:val="22"/>
          <w:szCs w:val="22"/>
        </w:rPr>
      </w:pPr>
      <w:r w:rsidRPr="008D7C80">
        <w:rPr>
          <w:rFonts w:asciiTheme="minorHAnsi" w:hAnsiTheme="minorHAnsi"/>
          <w:color w:val="1F497D" w:themeColor="text2"/>
          <w:sz w:val="22"/>
          <w:szCs w:val="22"/>
        </w:rPr>
        <w:t>Council provided attendees with the simple survey results from the village community meetings held up to 24th October</w:t>
      </w:r>
      <w:r w:rsidR="0087778E" w:rsidRPr="008D7C80">
        <w:rPr>
          <w:rFonts w:asciiTheme="minorHAnsi" w:hAnsiTheme="minorHAnsi"/>
          <w:color w:val="1F497D" w:themeColor="text2"/>
          <w:sz w:val="22"/>
          <w:szCs w:val="22"/>
        </w:rPr>
        <w:t xml:space="preserve"> and a secret ballot of attendees was held </w:t>
      </w:r>
      <w:r w:rsidRPr="008D7C80">
        <w:rPr>
          <w:rFonts w:asciiTheme="minorHAnsi" w:hAnsiTheme="minorHAnsi"/>
          <w:color w:val="1F497D" w:themeColor="text2"/>
          <w:sz w:val="22"/>
          <w:szCs w:val="22"/>
        </w:rPr>
        <w:t xml:space="preserve">that indicated: </w:t>
      </w:r>
    </w:p>
    <w:p w:rsidR="00A83465" w:rsidRPr="008D7C80" w:rsidRDefault="00A83465" w:rsidP="00316A5C">
      <w:pPr>
        <w:pStyle w:val="ListParagraph"/>
        <w:numPr>
          <w:ilvl w:val="0"/>
          <w:numId w:val="29"/>
        </w:numPr>
        <w:spacing w:line="276" w:lineRule="auto"/>
        <w:rPr>
          <w:rFonts w:asciiTheme="minorHAnsi" w:hAnsiTheme="minorHAnsi"/>
          <w:color w:val="1F497D" w:themeColor="text2"/>
          <w:sz w:val="22"/>
          <w:szCs w:val="22"/>
        </w:rPr>
      </w:pPr>
      <w:r w:rsidRPr="008D7C80">
        <w:rPr>
          <w:rFonts w:asciiTheme="minorHAnsi" w:hAnsiTheme="minorHAnsi"/>
          <w:color w:val="1F497D" w:themeColor="text2"/>
          <w:sz w:val="22"/>
          <w:szCs w:val="22"/>
        </w:rPr>
        <w:t>45% were in favour of the 15% variation over 6 years</w:t>
      </w:r>
    </w:p>
    <w:p w:rsidR="00A83465" w:rsidRPr="008D7C80" w:rsidRDefault="00A83465" w:rsidP="00316A5C">
      <w:pPr>
        <w:pStyle w:val="ListParagraph"/>
        <w:numPr>
          <w:ilvl w:val="0"/>
          <w:numId w:val="29"/>
        </w:numPr>
        <w:spacing w:line="276" w:lineRule="auto"/>
        <w:rPr>
          <w:rFonts w:asciiTheme="minorHAnsi" w:hAnsiTheme="minorHAnsi"/>
          <w:color w:val="1F497D" w:themeColor="text2"/>
          <w:sz w:val="22"/>
          <w:szCs w:val="22"/>
        </w:rPr>
      </w:pPr>
      <w:r w:rsidRPr="008D7C80">
        <w:rPr>
          <w:rFonts w:asciiTheme="minorHAnsi" w:hAnsiTheme="minorHAnsi"/>
          <w:color w:val="1F497D" w:themeColor="text2"/>
          <w:sz w:val="22"/>
          <w:szCs w:val="22"/>
        </w:rPr>
        <w:t>35% were in favour of the 10% variation over 4 years</w:t>
      </w:r>
    </w:p>
    <w:p w:rsidR="00A83465" w:rsidRPr="008D7C80" w:rsidRDefault="00A83465" w:rsidP="00316A5C">
      <w:pPr>
        <w:pStyle w:val="ListParagraph"/>
        <w:numPr>
          <w:ilvl w:val="0"/>
          <w:numId w:val="29"/>
        </w:numPr>
        <w:spacing w:line="276" w:lineRule="auto"/>
        <w:rPr>
          <w:rFonts w:asciiTheme="minorHAnsi" w:hAnsiTheme="minorHAnsi"/>
          <w:color w:val="1F497D" w:themeColor="text2"/>
          <w:sz w:val="22"/>
          <w:szCs w:val="22"/>
        </w:rPr>
      </w:pPr>
      <w:r w:rsidRPr="008D7C80">
        <w:rPr>
          <w:rFonts w:asciiTheme="minorHAnsi" w:hAnsiTheme="minorHAnsi"/>
          <w:color w:val="1F497D" w:themeColor="text2"/>
          <w:sz w:val="22"/>
          <w:szCs w:val="22"/>
        </w:rPr>
        <w:t>22% were in favour of the 3.3% variation (current rate peg)</w:t>
      </w:r>
    </w:p>
    <w:p w:rsidR="00A83465" w:rsidRPr="008D7C80" w:rsidRDefault="00A83465" w:rsidP="00316A5C">
      <w:pPr>
        <w:pStyle w:val="ListParagraph"/>
        <w:numPr>
          <w:ilvl w:val="0"/>
          <w:numId w:val="29"/>
        </w:numPr>
        <w:spacing w:line="276" w:lineRule="auto"/>
        <w:rPr>
          <w:rFonts w:asciiTheme="minorHAnsi" w:hAnsiTheme="minorHAnsi"/>
          <w:color w:val="1F497D" w:themeColor="text2"/>
          <w:sz w:val="22"/>
          <w:szCs w:val="22"/>
        </w:rPr>
      </w:pPr>
      <w:r w:rsidRPr="008D7C80">
        <w:rPr>
          <w:rFonts w:asciiTheme="minorHAnsi" w:hAnsiTheme="minorHAnsi"/>
          <w:color w:val="1F497D" w:themeColor="text2"/>
          <w:sz w:val="22"/>
          <w:szCs w:val="22"/>
        </w:rPr>
        <w:t>3% were informal</w:t>
      </w:r>
    </w:p>
    <w:p w:rsidR="00A83465" w:rsidRPr="008D7C80" w:rsidRDefault="00A83465" w:rsidP="00A83465">
      <w:pPr>
        <w:rPr>
          <w:rFonts w:asciiTheme="minorHAnsi" w:hAnsiTheme="minorHAnsi"/>
          <w:color w:val="1F497D" w:themeColor="text2"/>
          <w:sz w:val="22"/>
          <w:szCs w:val="22"/>
        </w:rPr>
      </w:pPr>
    </w:p>
    <w:p w:rsidR="00B876EC" w:rsidRPr="008D7C80" w:rsidRDefault="00A83465" w:rsidP="00B876EC">
      <w:pPr>
        <w:rPr>
          <w:rFonts w:asciiTheme="minorHAnsi" w:hAnsiTheme="minorHAnsi"/>
          <w:color w:val="1F497D" w:themeColor="text2"/>
          <w:sz w:val="22"/>
          <w:szCs w:val="22"/>
        </w:rPr>
      </w:pPr>
      <w:r w:rsidRPr="008D7C80">
        <w:rPr>
          <w:rFonts w:asciiTheme="minorHAnsi" w:hAnsiTheme="minorHAnsi"/>
          <w:color w:val="1F497D" w:themeColor="text2"/>
          <w:sz w:val="22"/>
          <w:szCs w:val="22"/>
        </w:rPr>
        <w:t>The meeting with NSW Farmers</w:t>
      </w:r>
      <w:r w:rsidR="00ED3FA0">
        <w:rPr>
          <w:rFonts w:asciiTheme="minorHAnsi" w:hAnsiTheme="minorHAnsi"/>
          <w:color w:val="1F497D" w:themeColor="text2"/>
          <w:sz w:val="22"/>
          <w:szCs w:val="22"/>
        </w:rPr>
        <w:t>, with approximately 100 in attendance,</w:t>
      </w:r>
      <w:r w:rsidRPr="008D7C80">
        <w:rPr>
          <w:rFonts w:asciiTheme="minorHAnsi" w:hAnsiTheme="minorHAnsi"/>
          <w:color w:val="1F497D" w:themeColor="text2"/>
          <w:sz w:val="22"/>
          <w:szCs w:val="22"/>
        </w:rPr>
        <w:t xml:space="preserve"> </w:t>
      </w:r>
      <w:r w:rsidR="0087778E" w:rsidRPr="008D7C80">
        <w:rPr>
          <w:rFonts w:asciiTheme="minorHAnsi" w:hAnsiTheme="minorHAnsi"/>
          <w:color w:val="1F497D" w:themeColor="text2"/>
          <w:sz w:val="22"/>
          <w:szCs w:val="22"/>
        </w:rPr>
        <w:t xml:space="preserve">received the similar presentation with a ballot held by show of hands that </w:t>
      </w:r>
      <w:r w:rsidRPr="008D7C80">
        <w:rPr>
          <w:rFonts w:asciiTheme="minorHAnsi" w:hAnsiTheme="minorHAnsi"/>
          <w:color w:val="1F497D" w:themeColor="text2"/>
          <w:sz w:val="22"/>
          <w:szCs w:val="22"/>
        </w:rPr>
        <w:t xml:space="preserve">saw an overwhelming majority of attendees in favour of the </w:t>
      </w:r>
      <w:r w:rsidR="00990E79">
        <w:rPr>
          <w:rFonts w:asciiTheme="minorHAnsi" w:hAnsiTheme="minorHAnsi"/>
          <w:color w:val="1F497D" w:themeColor="text2"/>
          <w:sz w:val="22"/>
          <w:szCs w:val="22"/>
        </w:rPr>
        <w:t xml:space="preserve">Reduced Services Model of </w:t>
      </w:r>
      <w:r w:rsidRPr="008D7C80">
        <w:rPr>
          <w:rFonts w:asciiTheme="minorHAnsi" w:hAnsiTheme="minorHAnsi"/>
          <w:color w:val="1F497D" w:themeColor="text2"/>
          <w:sz w:val="22"/>
          <w:szCs w:val="22"/>
        </w:rPr>
        <w:t>3.3% variation (rate-peg).</w:t>
      </w:r>
      <w:r w:rsidR="00B876EC">
        <w:rPr>
          <w:rFonts w:asciiTheme="minorHAnsi" w:hAnsiTheme="minorHAnsi"/>
          <w:color w:val="1F497D" w:themeColor="text2"/>
          <w:sz w:val="22"/>
          <w:szCs w:val="22"/>
        </w:rPr>
        <w:t xml:space="preserve"> Council took into account the information provided by rural landowners as to their ability to pay higher rates, a low commodity price, a potential that drought was returning to the Shire, that time was required to reinvest after the last drought, that a review  of base rates should occur and Council </w:t>
      </w:r>
      <w:r w:rsidR="00F33E04">
        <w:rPr>
          <w:rFonts w:asciiTheme="minorHAnsi" w:hAnsiTheme="minorHAnsi"/>
          <w:color w:val="1F497D" w:themeColor="text2"/>
          <w:sz w:val="22"/>
          <w:szCs w:val="22"/>
        </w:rPr>
        <w:t>should re</w:t>
      </w:r>
      <w:r w:rsidR="00B876EC">
        <w:rPr>
          <w:rFonts w:asciiTheme="minorHAnsi" w:hAnsiTheme="minorHAnsi"/>
          <w:color w:val="1F497D" w:themeColor="text2"/>
          <w:sz w:val="22"/>
          <w:szCs w:val="22"/>
        </w:rPr>
        <w:t xml:space="preserve">assess asset renewal types. </w:t>
      </w:r>
    </w:p>
    <w:p w:rsidR="00B876EC" w:rsidRPr="008D7C80" w:rsidRDefault="00B876EC" w:rsidP="00B876EC">
      <w:pPr>
        <w:rPr>
          <w:rFonts w:asciiTheme="minorHAnsi" w:hAnsiTheme="minorHAnsi"/>
          <w:color w:val="1F497D" w:themeColor="text2"/>
          <w:sz w:val="22"/>
          <w:szCs w:val="22"/>
        </w:rPr>
      </w:pPr>
    </w:p>
    <w:p w:rsidR="00836CDD" w:rsidRPr="008D7C80" w:rsidRDefault="00836CDD" w:rsidP="00836CDD">
      <w:pPr>
        <w:pStyle w:val="Default"/>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From these meetings there was recognition by the community that rates and other income sources needed to increase, along with cost savings measures being implemented by Council. </w:t>
      </w:r>
      <w:r w:rsidR="00921B41" w:rsidRPr="008D7C80">
        <w:rPr>
          <w:rFonts w:asciiTheme="minorHAnsi" w:hAnsiTheme="minorHAnsi"/>
          <w:color w:val="1F497D" w:themeColor="text2"/>
          <w:sz w:val="22"/>
          <w:szCs w:val="22"/>
        </w:rPr>
        <w:t>It was also recognised from concerns raised by the community, particularly Farmers, that</w:t>
      </w:r>
      <w:r w:rsidR="0012706C" w:rsidRPr="008D7C80">
        <w:rPr>
          <w:rFonts w:asciiTheme="minorHAnsi" w:hAnsiTheme="minorHAnsi"/>
          <w:color w:val="1F497D" w:themeColor="text2"/>
          <w:sz w:val="22"/>
          <w:szCs w:val="22"/>
        </w:rPr>
        <w:t xml:space="preserve"> </w:t>
      </w:r>
      <w:r w:rsidR="00921B41" w:rsidRPr="008D7C80">
        <w:rPr>
          <w:rFonts w:asciiTheme="minorHAnsi" w:hAnsiTheme="minorHAnsi"/>
          <w:color w:val="1F497D" w:themeColor="text2"/>
          <w:sz w:val="22"/>
          <w:szCs w:val="22"/>
        </w:rPr>
        <w:t>a review of</w:t>
      </w:r>
      <w:r w:rsidR="002A235A">
        <w:rPr>
          <w:rFonts w:asciiTheme="minorHAnsi" w:hAnsiTheme="minorHAnsi"/>
          <w:color w:val="1F497D" w:themeColor="text2"/>
          <w:sz w:val="22"/>
          <w:szCs w:val="22"/>
        </w:rPr>
        <w:t xml:space="preserve"> the</w:t>
      </w:r>
      <w:r w:rsidR="00921B41" w:rsidRPr="008D7C80">
        <w:rPr>
          <w:rFonts w:asciiTheme="minorHAnsi" w:hAnsiTheme="minorHAnsi"/>
          <w:color w:val="1F497D" w:themeColor="text2"/>
          <w:sz w:val="22"/>
          <w:szCs w:val="22"/>
        </w:rPr>
        <w:t xml:space="preserve"> rates structure would be required.</w:t>
      </w:r>
    </w:p>
    <w:p w:rsidR="0087778E" w:rsidRPr="008D7C80" w:rsidRDefault="0087778E" w:rsidP="00836CDD">
      <w:pPr>
        <w:pStyle w:val="Default"/>
        <w:rPr>
          <w:rFonts w:asciiTheme="minorHAnsi" w:hAnsiTheme="minorHAnsi"/>
          <w:color w:val="1F497D" w:themeColor="text2"/>
          <w:sz w:val="22"/>
          <w:szCs w:val="22"/>
        </w:rPr>
      </w:pPr>
    </w:p>
    <w:p w:rsidR="00921B41" w:rsidRDefault="00921B41" w:rsidP="00921B41">
      <w:pPr>
        <w:rPr>
          <w:rFonts w:asciiTheme="minorHAnsi" w:hAnsiTheme="minorHAnsi"/>
          <w:color w:val="1F497D" w:themeColor="text2"/>
          <w:sz w:val="22"/>
          <w:szCs w:val="22"/>
        </w:rPr>
      </w:pPr>
      <w:r w:rsidRPr="008D7C80">
        <w:rPr>
          <w:rFonts w:asciiTheme="minorHAnsi" w:hAnsiTheme="minorHAnsi"/>
          <w:color w:val="1F497D" w:themeColor="text2"/>
          <w:sz w:val="22"/>
          <w:szCs w:val="22"/>
        </w:rPr>
        <w:t>Council considered the discussion held at the community meetings and the advice from the survey taken at a workshop on Monday 4th November</w:t>
      </w:r>
      <w:r w:rsidR="00990E79">
        <w:rPr>
          <w:rFonts w:asciiTheme="minorHAnsi" w:hAnsiTheme="minorHAnsi"/>
          <w:color w:val="1F497D" w:themeColor="text2"/>
          <w:sz w:val="22"/>
          <w:szCs w:val="22"/>
        </w:rPr>
        <w:t xml:space="preserve"> 2013</w:t>
      </w:r>
      <w:r w:rsidRPr="008D7C80">
        <w:rPr>
          <w:rFonts w:asciiTheme="minorHAnsi" w:hAnsiTheme="minorHAnsi"/>
          <w:color w:val="1F497D" w:themeColor="text2"/>
          <w:sz w:val="22"/>
          <w:szCs w:val="22"/>
        </w:rPr>
        <w:t xml:space="preserve">. This workshop was to consider the level of special rate variation and the report submitted by Western Research Institute as to the affordability of the rates for all people living in Blayney Shire. This </w:t>
      </w:r>
      <w:r w:rsidR="00B876EC">
        <w:rPr>
          <w:rFonts w:asciiTheme="minorHAnsi" w:hAnsiTheme="minorHAnsi"/>
          <w:color w:val="1F497D" w:themeColor="text2"/>
          <w:sz w:val="22"/>
          <w:szCs w:val="22"/>
        </w:rPr>
        <w:t>was</w:t>
      </w:r>
      <w:r w:rsidRPr="008D7C80">
        <w:rPr>
          <w:rFonts w:asciiTheme="minorHAnsi" w:hAnsiTheme="minorHAnsi"/>
          <w:color w:val="1F497D" w:themeColor="text2"/>
          <w:sz w:val="22"/>
          <w:szCs w:val="22"/>
        </w:rPr>
        <w:t xml:space="preserve"> further compared to the survey results from the community</w:t>
      </w:r>
      <w:r w:rsidR="002A235A">
        <w:rPr>
          <w:rFonts w:asciiTheme="minorHAnsi" w:hAnsiTheme="minorHAnsi"/>
          <w:color w:val="1F497D" w:themeColor="text2"/>
          <w:sz w:val="22"/>
          <w:szCs w:val="22"/>
        </w:rPr>
        <w:t xml:space="preserve"> </w:t>
      </w:r>
      <w:r w:rsidRPr="008D7C80">
        <w:rPr>
          <w:rFonts w:asciiTheme="minorHAnsi" w:hAnsiTheme="minorHAnsi"/>
          <w:color w:val="1F497D" w:themeColor="text2"/>
          <w:sz w:val="22"/>
          <w:szCs w:val="22"/>
        </w:rPr>
        <w:t>as to what they want to see for the shire and how they believe the current situation exists.</w:t>
      </w:r>
      <w:r w:rsidR="002A235A">
        <w:rPr>
          <w:rFonts w:asciiTheme="minorHAnsi" w:hAnsiTheme="minorHAnsi"/>
          <w:color w:val="1F497D" w:themeColor="text2"/>
          <w:sz w:val="22"/>
          <w:szCs w:val="22"/>
        </w:rPr>
        <w:t xml:space="preserve"> </w:t>
      </w:r>
    </w:p>
    <w:p w:rsidR="00ED3FA0" w:rsidRDefault="00ED3FA0" w:rsidP="00921B41">
      <w:pPr>
        <w:rPr>
          <w:rFonts w:asciiTheme="minorHAnsi" w:hAnsiTheme="minorHAnsi"/>
          <w:color w:val="1F497D" w:themeColor="text2"/>
          <w:sz w:val="22"/>
          <w:szCs w:val="22"/>
        </w:rPr>
      </w:pPr>
    </w:p>
    <w:p w:rsidR="00921B41" w:rsidRPr="008D7C80" w:rsidRDefault="00921B41" w:rsidP="00921B41">
      <w:pPr>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At its Ordinary meeting held 11 November 2013 Council resolved the following: </w:t>
      </w:r>
    </w:p>
    <w:p w:rsidR="00921B41" w:rsidRPr="00990E79" w:rsidRDefault="00921B41" w:rsidP="00316A5C">
      <w:pPr>
        <w:pStyle w:val="ListParagraph"/>
        <w:numPr>
          <w:ilvl w:val="0"/>
          <w:numId w:val="31"/>
        </w:numPr>
        <w:spacing w:line="276" w:lineRule="auto"/>
        <w:rPr>
          <w:rFonts w:asciiTheme="minorHAnsi" w:hAnsiTheme="minorHAnsi"/>
          <w:i/>
          <w:color w:val="1F497D" w:themeColor="text2"/>
          <w:sz w:val="22"/>
          <w:szCs w:val="22"/>
        </w:rPr>
      </w:pPr>
      <w:r w:rsidRPr="00990E79">
        <w:rPr>
          <w:rFonts w:asciiTheme="minorHAnsi" w:hAnsiTheme="minorHAnsi"/>
          <w:i/>
          <w:color w:val="1F497D" w:themeColor="text2"/>
          <w:sz w:val="22"/>
          <w:szCs w:val="22"/>
        </w:rPr>
        <w:t>That Council apply to IPART for a Special Rate Variation of 6% across all rating categories for 2 years starting 2014/2015 financial year excluding existing Special Rate Variations in place;</w:t>
      </w:r>
    </w:p>
    <w:p w:rsidR="00921B41" w:rsidRPr="00990E79" w:rsidRDefault="00921B41" w:rsidP="00316A5C">
      <w:pPr>
        <w:pStyle w:val="ListParagraph"/>
        <w:numPr>
          <w:ilvl w:val="0"/>
          <w:numId w:val="31"/>
        </w:numPr>
        <w:spacing w:line="276" w:lineRule="auto"/>
        <w:rPr>
          <w:rFonts w:asciiTheme="minorHAnsi" w:hAnsiTheme="minorHAnsi"/>
          <w:i/>
          <w:color w:val="1F497D" w:themeColor="text2"/>
          <w:sz w:val="22"/>
          <w:szCs w:val="22"/>
        </w:rPr>
      </w:pPr>
      <w:r w:rsidRPr="00990E79">
        <w:rPr>
          <w:rFonts w:asciiTheme="minorHAnsi" w:hAnsiTheme="minorHAnsi"/>
          <w:i/>
          <w:color w:val="1F497D" w:themeColor="text2"/>
          <w:sz w:val="22"/>
          <w:szCs w:val="22"/>
        </w:rPr>
        <w:t>That Council modifies its Long Term Financial Plan to project rate increases of 6% for Farmland rate category and 10% for all other categories, excluding existing Special Rate Variations in place, for 4 years starting financial year 2016/2017;</w:t>
      </w:r>
    </w:p>
    <w:p w:rsidR="00921B41" w:rsidRPr="00990E79" w:rsidRDefault="00921B41" w:rsidP="00316A5C">
      <w:pPr>
        <w:pStyle w:val="ListParagraph"/>
        <w:numPr>
          <w:ilvl w:val="0"/>
          <w:numId w:val="31"/>
        </w:numPr>
        <w:spacing w:line="276" w:lineRule="auto"/>
        <w:rPr>
          <w:rFonts w:asciiTheme="minorHAnsi" w:hAnsiTheme="minorHAnsi"/>
          <w:i/>
          <w:color w:val="1F497D" w:themeColor="text2"/>
          <w:sz w:val="22"/>
          <w:szCs w:val="22"/>
        </w:rPr>
      </w:pPr>
      <w:r w:rsidRPr="00990E79">
        <w:rPr>
          <w:rFonts w:asciiTheme="minorHAnsi" w:hAnsiTheme="minorHAnsi"/>
          <w:i/>
          <w:color w:val="1F497D" w:themeColor="text2"/>
          <w:sz w:val="22"/>
          <w:szCs w:val="22"/>
        </w:rPr>
        <w:t>That Council undertake a review of the rating structure to combine rate groups and review the base rate for the new rate descriptions;</w:t>
      </w:r>
    </w:p>
    <w:p w:rsidR="00921B41" w:rsidRPr="00990E79" w:rsidRDefault="00921B41" w:rsidP="00316A5C">
      <w:pPr>
        <w:pStyle w:val="ListParagraph"/>
        <w:numPr>
          <w:ilvl w:val="0"/>
          <w:numId w:val="31"/>
        </w:numPr>
        <w:spacing w:line="276" w:lineRule="auto"/>
        <w:rPr>
          <w:rFonts w:asciiTheme="minorHAnsi" w:hAnsiTheme="minorHAnsi"/>
          <w:i/>
          <w:color w:val="1F497D" w:themeColor="text2"/>
          <w:sz w:val="22"/>
          <w:szCs w:val="22"/>
        </w:rPr>
      </w:pPr>
      <w:r w:rsidRPr="00990E79">
        <w:rPr>
          <w:rFonts w:asciiTheme="minorHAnsi" w:hAnsiTheme="minorHAnsi"/>
          <w:i/>
          <w:color w:val="1F497D" w:themeColor="text2"/>
          <w:sz w:val="22"/>
          <w:szCs w:val="22"/>
        </w:rPr>
        <w:t>That Council provide advice through the local media and councils newsletters as to the decision of Council on the special rate variation; and</w:t>
      </w:r>
    </w:p>
    <w:p w:rsidR="00921B41" w:rsidRPr="00990E79" w:rsidRDefault="00921B41" w:rsidP="00316A5C">
      <w:pPr>
        <w:pStyle w:val="ListParagraph"/>
        <w:numPr>
          <w:ilvl w:val="0"/>
          <w:numId w:val="31"/>
        </w:numPr>
        <w:spacing w:line="276" w:lineRule="auto"/>
        <w:rPr>
          <w:rFonts w:asciiTheme="minorHAnsi" w:hAnsiTheme="minorHAnsi"/>
          <w:i/>
          <w:color w:val="1F497D" w:themeColor="text2"/>
          <w:sz w:val="22"/>
          <w:szCs w:val="22"/>
        </w:rPr>
      </w:pPr>
      <w:r w:rsidRPr="00990E79">
        <w:rPr>
          <w:rFonts w:asciiTheme="minorHAnsi" w:hAnsiTheme="minorHAnsi"/>
          <w:i/>
          <w:color w:val="1F497D" w:themeColor="text2"/>
          <w:sz w:val="22"/>
          <w:szCs w:val="22"/>
        </w:rPr>
        <w:t>That Council work with Village committees and NSW Farmers to consider, review and develop the future special rate variation from 2016/2017.</w:t>
      </w:r>
    </w:p>
    <w:p w:rsidR="0012706C" w:rsidRPr="00990E79" w:rsidRDefault="0012706C" w:rsidP="00836CDD">
      <w:pPr>
        <w:pStyle w:val="Default"/>
        <w:rPr>
          <w:rFonts w:asciiTheme="minorHAnsi" w:hAnsiTheme="minorHAnsi"/>
          <w:i/>
          <w:color w:val="1F497D" w:themeColor="text2"/>
          <w:sz w:val="22"/>
          <w:szCs w:val="22"/>
        </w:rPr>
      </w:pPr>
    </w:p>
    <w:p w:rsidR="0087778E" w:rsidRPr="008D7C80" w:rsidRDefault="00673623" w:rsidP="00836CDD">
      <w:pPr>
        <w:pStyle w:val="Default"/>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Council also sought to </w:t>
      </w:r>
      <w:r w:rsidR="00BE609A" w:rsidRPr="008D7C80">
        <w:rPr>
          <w:rFonts w:asciiTheme="minorHAnsi" w:hAnsiTheme="minorHAnsi"/>
          <w:color w:val="1F497D" w:themeColor="text2"/>
          <w:sz w:val="22"/>
          <w:szCs w:val="22"/>
        </w:rPr>
        <w:t>provide an overview to</w:t>
      </w:r>
      <w:r w:rsidRPr="008D7C80">
        <w:rPr>
          <w:rFonts w:asciiTheme="minorHAnsi" w:hAnsiTheme="minorHAnsi"/>
          <w:color w:val="1F497D" w:themeColor="text2"/>
          <w:sz w:val="22"/>
          <w:szCs w:val="22"/>
        </w:rPr>
        <w:t xml:space="preserve"> its community</w:t>
      </w:r>
      <w:r w:rsidR="006E67B6" w:rsidRPr="008D7C80">
        <w:rPr>
          <w:rFonts w:asciiTheme="minorHAnsi" w:hAnsiTheme="minorHAnsi"/>
          <w:color w:val="1F497D" w:themeColor="text2"/>
          <w:sz w:val="22"/>
          <w:szCs w:val="22"/>
        </w:rPr>
        <w:t>,</w:t>
      </w:r>
      <w:r w:rsidRPr="008D7C80">
        <w:rPr>
          <w:rFonts w:asciiTheme="minorHAnsi" w:hAnsiTheme="minorHAnsi"/>
          <w:color w:val="1F497D" w:themeColor="text2"/>
          <w:sz w:val="22"/>
          <w:szCs w:val="22"/>
        </w:rPr>
        <w:t xml:space="preserve"> </w:t>
      </w:r>
      <w:r w:rsidR="006E67B6" w:rsidRPr="008D7C80">
        <w:rPr>
          <w:rFonts w:asciiTheme="minorHAnsi" w:hAnsiTheme="minorHAnsi"/>
          <w:color w:val="1F497D" w:themeColor="text2"/>
          <w:sz w:val="22"/>
          <w:szCs w:val="22"/>
        </w:rPr>
        <w:t xml:space="preserve">in a succinct format, of how it has arrived to the need for a special rate variation and </w:t>
      </w:r>
      <w:r w:rsidR="00BE609A" w:rsidRPr="008D7C80">
        <w:rPr>
          <w:rFonts w:asciiTheme="minorHAnsi" w:hAnsiTheme="minorHAnsi"/>
          <w:color w:val="1F497D" w:themeColor="text2"/>
          <w:sz w:val="22"/>
          <w:szCs w:val="22"/>
        </w:rPr>
        <w:t xml:space="preserve">an outline of </w:t>
      </w:r>
      <w:r w:rsidR="006E67B6" w:rsidRPr="008D7C80">
        <w:rPr>
          <w:rFonts w:asciiTheme="minorHAnsi" w:hAnsiTheme="minorHAnsi"/>
          <w:color w:val="1F497D" w:themeColor="text2"/>
          <w:sz w:val="22"/>
          <w:szCs w:val="22"/>
        </w:rPr>
        <w:t xml:space="preserve">its financial situation </w:t>
      </w:r>
      <w:r w:rsidRPr="008D7C80">
        <w:rPr>
          <w:rFonts w:asciiTheme="minorHAnsi" w:hAnsiTheme="minorHAnsi"/>
          <w:color w:val="1F497D" w:themeColor="text2"/>
          <w:sz w:val="22"/>
          <w:szCs w:val="22"/>
        </w:rPr>
        <w:t xml:space="preserve">through the inclusion </w:t>
      </w:r>
      <w:r w:rsidR="00C2728A" w:rsidRPr="008D7C80">
        <w:rPr>
          <w:rFonts w:asciiTheme="minorHAnsi" w:hAnsiTheme="minorHAnsi"/>
          <w:color w:val="1F497D" w:themeColor="text2"/>
          <w:sz w:val="22"/>
          <w:szCs w:val="22"/>
        </w:rPr>
        <w:t xml:space="preserve">in </w:t>
      </w:r>
      <w:r w:rsidR="006E67B6" w:rsidRPr="008D7C80">
        <w:rPr>
          <w:rFonts w:asciiTheme="minorHAnsi" w:hAnsiTheme="minorHAnsi"/>
          <w:color w:val="1F497D" w:themeColor="text2"/>
          <w:sz w:val="22"/>
          <w:szCs w:val="22"/>
        </w:rPr>
        <w:t xml:space="preserve">the preliminary section of </w:t>
      </w:r>
      <w:r w:rsidR="00C2728A" w:rsidRPr="008D7C80">
        <w:rPr>
          <w:rFonts w:asciiTheme="minorHAnsi" w:hAnsiTheme="minorHAnsi"/>
          <w:color w:val="1F497D" w:themeColor="text2"/>
          <w:sz w:val="22"/>
          <w:szCs w:val="22"/>
        </w:rPr>
        <w:t xml:space="preserve">its Delivery </w:t>
      </w:r>
      <w:r w:rsidR="006E67B6" w:rsidRPr="008D7C80">
        <w:rPr>
          <w:rFonts w:asciiTheme="minorHAnsi" w:hAnsiTheme="minorHAnsi"/>
          <w:color w:val="1F497D" w:themeColor="text2"/>
          <w:sz w:val="22"/>
          <w:szCs w:val="22"/>
        </w:rPr>
        <w:t>P</w:t>
      </w:r>
      <w:r w:rsidR="00C2728A" w:rsidRPr="008D7C80">
        <w:rPr>
          <w:rFonts w:asciiTheme="minorHAnsi" w:hAnsiTheme="minorHAnsi"/>
          <w:color w:val="1F497D" w:themeColor="text2"/>
          <w:sz w:val="22"/>
          <w:szCs w:val="22"/>
        </w:rPr>
        <w:t xml:space="preserve">rogram </w:t>
      </w:r>
      <w:r w:rsidR="006E67B6" w:rsidRPr="008D7C80">
        <w:rPr>
          <w:rFonts w:asciiTheme="minorHAnsi" w:hAnsiTheme="minorHAnsi"/>
          <w:color w:val="1F497D" w:themeColor="text2"/>
          <w:sz w:val="22"/>
          <w:szCs w:val="22"/>
        </w:rPr>
        <w:t>reference to the following:</w:t>
      </w:r>
    </w:p>
    <w:p w:rsidR="006E67B6" w:rsidRPr="008D7C80" w:rsidRDefault="006E67B6" w:rsidP="00316A5C">
      <w:pPr>
        <w:pStyle w:val="ListParagraph"/>
        <w:numPr>
          <w:ilvl w:val="0"/>
          <w:numId w:val="30"/>
        </w:numPr>
        <w:rPr>
          <w:rFonts w:asciiTheme="minorHAnsi" w:hAnsiTheme="minorHAnsi"/>
          <w:color w:val="1F497D" w:themeColor="text2"/>
          <w:sz w:val="22"/>
          <w:szCs w:val="22"/>
        </w:rPr>
      </w:pPr>
      <w:r w:rsidRPr="008D7C80">
        <w:rPr>
          <w:rFonts w:asciiTheme="minorHAnsi" w:hAnsiTheme="minorHAnsi"/>
          <w:color w:val="1F497D" w:themeColor="text2"/>
          <w:sz w:val="22"/>
          <w:szCs w:val="22"/>
        </w:rPr>
        <w:lastRenderedPageBreak/>
        <w:t>Community Engagement for future funding (Special Rate Variations) and service delivery (2 pages)</w:t>
      </w:r>
    </w:p>
    <w:p w:rsidR="006E67B6" w:rsidRPr="008D7C80" w:rsidRDefault="006E67B6" w:rsidP="00316A5C">
      <w:pPr>
        <w:pStyle w:val="ListParagraph"/>
        <w:numPr>
          <w:ilvl w:val="0"/>
          <w:numId w:val="30"/>
        </w:numPr>
        <w:rPr>
          <w:rFonts w:asciiTheme="minorHAnsi" w:hAnsiTheme="minorHAnsi"/>
          <w:color w:val="1F497D" w:themeColor="text2"/>
          <w:sz w:val="22"/>
          <w:szCs w:val="22"/>
        </w:rPr>
      </w:pPr>
      <w:r w:rsidRPr="008D7C80">
        <w:rPr>
          <w:rFonts w:asciiTheme="minorHAnsi" w:hAnsiTheme="minorHAnsi"/>
          <w:color w:val="1F497D" w:themeColor="text2"/>
          <w:sz w:val="22"/>
          <w:szCs w:val="22"/>
        </w:rPr>
        <w:t>The Path to Financial Sustainability (6 pages)</w:t>
      </w:r>
    </w:p>
    <w:p w:rsidR="006E67B6" w:rsidRPr="008D7C80" w:rsidRDefault="006E67B6" w:rsidP="00836CDD">
      <w:pPr>
        <w:pStyle w:val="Default"/>
        <w:rPr>
          <w:rFonts w:asciiTheme="minorHAnsi" w:hAnsiTheme="minorHAnsi"/>
          <w:color w:val="1F497D" w:themeColor="text2"/>
          <w:sz w:val="22"/>
          <w:szCs w:val="22"/>
        </w:rPr>
      </w:pPr>
    </w:p>
    <w:p w:rsidR="006E67B6" w:rsidRPr="008D7C80" w:rsidRDefault="006E67B6" w:rsidP="00836CDD">
      <w:pPr>
        <w:pStyle w:val="Default"/>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The Long Term Financial Plan includes in its preface </w:t>
      </w:r>
      <w:r w:rsidR="00BE609A" w:rsidRPr="008D7C80">
        <w:rPr>
          <w:rFonts w:asciiTheme="minorHAnsi" w:hAnsiTheme="minorHAnsi"/>
          <w:color w:val="1F497D" w:themeColor="text2"/>
          <w:sz w:val="22"/>
          <w:szCs w:val="22"/>
        </w:rPr>
        <w:t>reference to</w:t>
      </w:r>
      <w:r w:rsidRPr="008D7C80">
        <w:rPr>
          <w:rFonts w:asciiTheme="minorHAnsi" w:hAnsiTheme="minorHAnsi"/>
          <w:color w:val="1F497D" w:themeColor="text2"/>
          <w:sz w:val="22"/>
          <w:szCs w:val="22"/>
        </w:rPr>
        <w:t xml:space="preserve"> </w:t>
      </w:r>
      <w:r w:rsidR="00BE609A" w:rsidRPr="008D7C80">
        <w:rPr>
          <w:rFonts w:asciiTheme="minorHAnsi" w:hAnsiTheme="minorHAnsi"/>
          <w:color w:val="1F497D" w:themeColor="text2"/>
          <w:sz w:val="22"/>
          <w:szCs w:val="22"/>
        </w:rPr>
        <w:t>T</w:t>
      </w:r>
      <w:r w:rsidRPr="008D7C80">
        <w:rPr>
          <w:rFonts w:asciiTheme="minorHAnsi" w:hAnsiTheme="minorHAnsi"/>
          <w:color w:val="1F497D" w:themeColor="text2"/>
          <w:sz w:val="22"/>
          <w:szCs w:val="22"/>
        </w:rPr>
        <w:t>he Path to Financial Sustainability</w:t>
      </w:r>
      <w:r w:rsidR="00F33E04">
        <w:rPr>
          <w:rFonts w:asciiTheme="minorHAnsi" w:hAnsiTheme="minorHAnsi"/>
          <w:color w:val="1F497D" w:themeColor="text2"/>
          <w:sz w:val="22"/>
          <w:szCs w:val="22"/>
        </w:rPr>
        <w:t xml:space="preserve"> and the Community Strategic Plan includes reference to Community Engagement for future funding</w:t>
      </w:r>
      <w:proofErr w:type="gramStart"/>
      <w:r w:rsidR="00F33E04">
        <w:rPr>
          <w:rFonts w:asciiTheme="minorHAnsi" w:hAnsiTheme="minorHAnsi"/>
          <w:color w:val="1F497D" w:themeColor="text2"/>
          <w:sz w:val="22"/>
          <w:szCs w:val="22"/>
        </w:rPr>
        <w:t>.</w:t>
      </w:r>
      <w:r w:rsidRPr="008D7C80">
        <w:rPr>
          <w:rFonts w:asciiTheme="minorHAnsi" w:hAnsiTheme="minorHAnsi"/>
          <w:color w:val="1F497D" w:themeColor="text2"/>
          <w:sz w:val="22"/>
          <w:szCs w:val="22"/>
        </w:rPr>
        <w:t>.</w:t>
      </w:r>
      <w:proofErr w:type="gramEnd"/>
    </w:p>
    <w:p w:rsidR="00673623" w:rsidRPr="008D7C80" w:rsidRDefault="00673623" w:rsidP="00836CDD">
      <w:pPr>
        <w:pStyle w:val="Default"/>
        <w:rPr>
          <w:rFonts w:asciiTheme="minorHAnsi" w:hAnsiTheme="minorHAnsi"/>
          <w:color w:val="1F497D" w:themeColor="text2"/>
          <w:sz w:val="22"/>
          <w:szCs w:val="22"/>
        </w:rPr>
      </w:pPr>
    </w:p>
    <w:p w:rsidR="00673623" w:rsidRPr="008D7C80" w:rsidRDefault="009015C7" w:rsidP="00836CDD">
      <w:pPr>
        <w:pStyle w:val="Default"/>
        <w:rPr>
          <w:rFonts w:asciiTheme="minorHAnsi" w:hAnsiTheme="minorHAnsi"/>
          <w:color w:val="1F497D" w:themeColor="text2"/>
          <w:sz w:val="22"/>
          <w:szCs w:val="22"/>
        </w:rPr>
      </w:pPr>
      <w:r>
        <w:rPr>
          <w:rFonts w:asciiTheme="minorHAnsi" w:hAnsiTheme="minorHAnsi"/>
          <w:color w:val="1F497D" w:themeColor="text2"/>
          <w:sz w:val="22"/>
          <w:szCs w:val="22"/>
        </w:rPr>
        <w:t xml:space="preserve">This application for a </w:t>
      </w:r>
      <w:r w:rsidRPr="008D7C80">
        <w:rPr>
          <w:rFonts w:asciiTheme="minorHAnsi" w:hAnsiTheme="minorHAnsi"/>
          <w:color w:val="1F497D" w:themeColor="text2"/>
          <w:sz w:val="22"/>
          <w:szCs w:val="22"/>
        </w:rPr>
        <w:t>Special Rate Variation of 6% across all rating categories for 2 years starting 2014/2015 financial year excluding existing Special Rate Variations in place</w:t>
      </w:r>
      <w:r>
        <w:rPr>
          <w:rFonts w:asciiTheme="minorHAnsi" w:hAnsiTheme="minorHAnsi"/>
          <w:color w:val="1F497D" w:themeColor="text2"/>
          <w:sz w:val="22"/>
          <w:szCs w:val="22"/>
        </w:rPr>
        <w:t xml:space="preserve"> has been labelled the </w:t>
      </w:r>
      <w:r w:rsidRPr="009015C7">
        <w:rPr>
          <w:rFonts w:asciiTheme="minorHAnsi" w:hAnsiTheme="minorHAnsi"/>
          <w:i/>
          <w:color w:val="1F497D" w:themeColor="text2"/>
          <w:sz w:val="22"/>
          <w:szCs w:val="22"/>
        </w:rPr>
        <w:t>Community Informed Services Model</w:t>
      </w:r>
      <w:r>
        <w:rPr>
          <w:rFonts w:asciiTheme="minorHAnsi" w:hAnsiTheme="minorHAnsi"/>
          <w:color w:val="1F497D" w:themeColor="text2"/>
          <w:sz w:val="22"/>
          <w:szCs w:val="22"/>
        </w:rPr>
        <w:t xml:space="preserve">. </w:t>
      </w:r>
      <w:r w:rsidR="00921B41" w:rsidRPr="008D7C80">
        <w:rPr>
          <w:rFonts w:asciiTheme="minorHAnsi" w:hAnsiTheme="minorHAnsi"/>
          <w:color w:val="1F497D" w:themeColor="text2"/>
          <w:sz w:val="22"/>
          <w:szCs w:val="22"/>
        </w:rPr>
        <w:t xml:space="preserve">The increases sought included in this special rate variation application have been before the community and have been included in Council’s </w:t>
      </w:r>
      <w:r w:rsidR="005B5D6D">
        <w:rPr>
          <w:rFonts w:asciiTheme="minorHAnsi" w:hAnsiTheme="minorHAnsi"/>
          <w:color w:val="1F497D" w:themeColor="text2"/>
          <w:sz w:val="22"/>
          <w:szCs w:val="22"/>
        </w:rPr>
        <w:t xml:space="preserve">2014/15 – 2017/18 </w:t>
      </w:r>
      <w:r w:rsidR="00921B41" w:rsidRPr="008D7C80">
        <w:rPr>
          <w:rFonts w:asciiTheme="minorHAnsi" w:hAnsiTheme="minorHAnsi"/>
          <w:color w:val="1F497D" w:themeColor="text2"/>
          <w:sz w:val="22"/>
          <w:szCs w:val="22"/>
        </w:rPr>
        <w:t>Delivery Plan and Resourcing Strategy.</w:t>
      </w:r>
    </w:p>
    <w:p w:rsidR="00AC49EA" w:rsidRDefault="00B606B0" w:rsidP="00CB155C">
      <w:pPr>
        <w:pStyle w:val="Heading1"/>
      </w:pPr>
      <w:bookmarkStart w:id="5" w:name="_Toc380956886"/>
      <w:r>
        <w:t>Assessment c</w:t>
      </w:r>
      <w:r w:rsidR="00B82030">
        <w:t>riterion 1:</w:t>
      </w:r>
      <w:r w:rsidR="000431EA">
        <w:t xml:space="preserve">  </w:t>
      </w:r>
      <w:r w:rsidR="00B82030">
        <w:t xml:space="preserve"> </w:t>
      </w:r>
      <w:r w:rsidR="00AC49EA" w:rsidRPr="00B17EC1">
        <w:t>Need for the variation</w:t>
      </w:r>
      <w:bookmarkEnd w:id="5"/>
    </w:p>
    <w:p w:rsidR="00B606B0" w:rsidRPr="00B606B0" w:rsidRDefault="00BC4F05" w:rsidP="00B606B0">
      <w:pPr>
        <w:pStyle w:val="BodyText"/>
      </w:pPr>
      <w:r w:rsidRPr="00385582">
        <w:t xml:space="preserve">In the </w:t>
      </w:r>
      <w:r w:rsidR="00B606B0" w:rsidRPr="00385582">
        <w:t>DLG Guidelines</w:t>
      </w:r>
      <w:r w:rsidRPr="00385582">
        <w:t xml:space="preserve">, </w:t>
      </w:r>
      <w:r w:rsidR="00B606B0" w:rsidRPr="00385582">
        <w:t xml:space="preserve">criterion </w:t>
      </w:r>
      <w:r w:rsidRPr="00385582">
        <w:t>1 is</w:t>
      </w:r>
      <w:r w:rsidR="00B606B0" w:rsidRPr="00385582">
        <w:t>:</w:t>
      </w:r>
    </w:p>
    <w:p w:rsidR="00CD42BF" w:rsidRPr="002458DB" w:rsidRDefault="00CD42BF" w:rsidP="00E1109E">
      <w:pPr>
        <w:pStyle w:val="BodyText"/>
        <w:spacing w:after="120" w:line="240" w:lineRule="auto"/>
        <w:ind w:left="284"/>
        <w:rPr>
          <w:rFonts w:ascii="Arial" w:hAnsi="Arial" w:cs="Arial"/>
          <w:i/>
          <w:sz w:val="20"/>
          <w:szCs w:val="20"/>
        </w:rPr>
      </w:pPr>
      <w:r w:rsidRPr="002458DB">
        <w:rPr>
          <w:rFonts w:ascii="Arial" w:hAnsi="Arial" w:cs="Arial"/>
          <w:i/>
          <w:sz w:val="20"/>
          <w:szCs w:val="20"/>
        </w:rPr>
        <w:t xml:space="preserve">The need for and purpose of a different revenue path (as requested through the special variation) is clearly articulated and identified through the council’s IP&amp;R documents, including its Delivery Program and Long Term Financial Plan. </w:t>
      </w:r>
      <w:r w:rsidR="00E1109E">
        <w:rPr>
          <w:rFonts w:ascii="Arial" w:hAnsi="Arial" w:cs="Arial"/>
          <w:i/>
          <w:sz w:val="20"/>
          <w:szCs w:val="20"/>
        </w:rPr>
        <w:t xml:space="preserve"> </w:t>
      </w:r>
      <w:r w:rsidRPr="00532A19">
        <w:rPr>
          <w:rFonts w:ascii="Arial" w:hAnsi="Arial" w:cs="Arial"/>
          <w:i/>
          <w:sz w:val="20"/>
          <w:szCs w:val="20"/>
        </w:rPr>
        <w:t>Evidence for this criterion could include evidence of community need/desire for service levels/project and limited</w:t>
      </w:r>
      <w:r w:rsidRPr="002458DB">
        <w:rPr>
          <w:rFonts w:ascii="Arial" w:hAnsi="Arial" w:cs="Arial"/>
          <w:i/>
          <w:sz w:val="20"/>
          <w:szCs w:val="20"/>
        </w:rPr>
        <w:t xml:space="preserve"> council resourcing alternatives and the Council’s financial sustainability conducted by the NSW Treasury Corporation. </w:t>
      </w:r>
      <w:r w:rsidR="00E1109E">
        <w:rPr>
          <w:rFonts w:ascii="Arial" w:hAnsi="Arial" w:cs="Arial"/>
          <w:i/>
          <w:sz w:val="20"/>
          <w:szCs w:val="20"/>
        </w:rPr>
        <w:t xml:space="preserve"> </w:t>
      </w:r>
      <w:r w:rsidRPr="002458DB">
        <w:rPr>
          <w:rFonts w:ascii="Arial" w:hAnsi="Arial" w:cs="Arial"/>
          <w:i/>
          <w:sz w:val="20"/>
          <w:szCs w:val="20"/>
        </w:rPr>
        <w:t>In demonstrating this need councils must indicate the financial impact in their Long Term Financial Plan applying the following two scenarios:</w:t>
      </w:r>
    </w:p>
    <w:p w:rsidR="00CD42BF" w:rsidRPr="002458DB" w:rsidRDefault="00CD42BF" w:rsidP="00E1109E">
      <w:pPr>
        <w:pStyle w:val="BodyText"/>
        <w:numPr>
          <w:ilvl w:val="0"/>
          <w:numId w:val="27"/>
        </w:numPr>
        <w:spacing w:before="0" w:after="120" w:line="240" w:lineRule="auto"/>
        <w:ind w:left="1135" w:hanging="284"/>
        <w:rPr>
          <w:rFonts w:ascii="Arial" w:hAnsi="Arial" w:cs="Arial"/>
          <w:i/>
          <w:sz w:val="20"/>
          <w:szCs w:val="20"/>
        </w:rPr>
      </w:pPr>
      <w:r w:rsidRPr="002458DB">
        <w:rPr>
          <w:rFonts w:ascii="Arial" w:hAnsi="Arial" w:cs="Arial"/>
          <w:i/>
          <w:sz w:val="20"/>
          <w:szCs w:val="20"/>
        </w:rPr>
        <w:t>Baseline scenario – revenue and expenditure forecasts which reflects the business as usual model, and exclude the special variation, and</w:t>
      </w:r>
    </w:p>
    <w:p w:rsidR="00CD42BF" w:rsidRPr="002458DB" w:rsidRDefault="00CD42BF" w:rsidP="00E1109E">
      <w:pPr>
        <w:pStyle w:val="BodyText"/>
        <w:numPr>
          <w:ilvl w:val="0"/>
          <w:numId w:val="27"/>
        </w:numPr>
        <w:spacing w:before="0" w:after="120" w:line="240" w:lineRule="auto"/>
        <w:ind w:left="1135" w:hanging="284"/>
        <w:rPr>
          <w:rFonts w:ascii="Arial" w:hAnsi="Arial" w:cs="Arial"/>
          <w:i/>
          <w:sz w:val="20"/>
          <w:szCs w:val="20"/>
        </w:rPr>
      </w:pPr>
      <w:r w:rsidRPr="002458DB">
        <w:rPr>
          <w:rFonts w:ascii="Arial" w:hAnsi="Arial" w:cs="Arial"/>
          <w:i/>
          <w:sz w:val="20"/>
          <w:szCs w:val="20"/>
        </w:rPr>
        <w:t>Special variation scenario – the result of approving the special variation in full is shown and reflected in the revenue forecast with the additional expenditure levels intended to be funded by the special variation.</w:t>
      </w:r>
    </w:p>
    <w:p w:rsidR="00620781" w:rsidRPr="0003702A" w:rsidRDefault="009644BD" w:rsidP="00345667">
      <w:pPr>
        <w:pStyle w:val="BodyText"/>
      </w:pPr>
      <w:r w:rsidRPr="0003702A">
        <w:t>The response in t</w:t>
      </w:r>
      <w:r w:rsidR="00C53ACD" w:rsidRPr="0003702A">
        <w:t>his section</w:t>
      </w:r>
      <w:r w:rsidR="00BC4F05" w:rsidRPr="0003702A">
        <w:t xml:space="preserve"> should </w:t>
      </w:r>
      <w:r w:rsidR="00C05341" w:rsidRPr="0003702A">
        <w:t>summarise</w:t>
      </w:r>
      <w:r w:rsidR="00980E02" w:rsidRPr="0003702A">
        <w:t xml:space="preserve"> </w:t>
      </w:r>
      <w:r w:rsidR="00BC4F05" w:rsidRPr="0003702A">
        <w:t xml:space="preserve">the council’s </w:t>
      </w:r>
      <w:r w:rsidR="00980E02" w:rsidRPr="0003702A">
        <w:t xml:space="preserve">case for the </w:t>
      </w:r>
      <w:r w:rsidR="00C53ACD" w:rsidRPr="0003702A">
        <w:t xml:space="preserve">proposed </w:t>
      </w:r>
      <w:r w:rsidR="00604C55" w:rsidRPr="0003702A">
        <w:t>special variation</w:t>
      </w:r>
      <w:r w:rsidR="00104B1C" w:rsidRPr="0003702A">
        <w:t>.</w:t>
      </w:r>
      <w:r w:rsidR="00B17EC1" w:rsidRPr="0003702A">
        <w:t xml:space="preserve"> </w:t>
      </w:r>
      <w:r w:rsidR="00C05341" w:rsidRPr="0003702A">
        <w:t xml:space="preserve"> </w:t>
      </w:r>
      <w:r w:rsidR="00BC4F05" w:rsidRPr="0003702A">
        <w:t xml:space="preserve">It is necessary to </w:t>
      </w:r>
      <w:r w:rsidR="00620781" w:rsidRPr="0003702A">
        <w:t xml:space="preserve">show </w:t>
      </w:r>
      <w:r w:rsidR="00BC4F05" w:rsidRPr="0003702A">
        <w:t xml:space="preserve">how the council has </w:t>
      </w:r>
      <w:r w:rsidR="00DB0122" w:rsidRPr="0003702A">
        <w:t xml:space="preserve">identified and </w:t>
      </w:r>
      <w:r w:rsidR="00620781" w:rsidRPr="0003702A">
        <w:t>considered</w:t>
      </w:r>
      <w:r w:rsidR="00C05341" w:rsidRPr="0003702A">
        <w:t xml:space="preserve"> </w:t>
      </w:r>
      <w:r w:rsidR="00BC4F05" w:rsidRPr="0003702A">
        <w:t>its</w:t>
      </w:r>
      <w:r w:rsidR="00C05341" w:rsidRPr="0003702A">
        <w:t xml:space="preserve"> community’s </w:t>
      </w:r>
      <w:r w:rsidR="00B606B0" w:rsidRPr="0003702A">
        <w:t>needs</w:t>
      </w:r>
      <w:r w:rsidR="00600721" w:rsidRPr="0003702A">
        <w:t>, alternative funding options</w:t>
      </w:r>
      <w:r w:rsidR="00C05341" w:rsidRPr="0003702A">
        <w:t xml:space="preserve"> and </w:t>
      </w:r>
      <w:r w:rsidR="00620781" w:rsidRPr="0003702A">
        <w:t xml:space="preserve">the state of </w:t>
      </w:r>
      <w:r w:rsidR="00BC4F05" w:rsidRPr="0003702A">
        <w:t xml:space="preserve">its </w:t>
      </w:r>
      <w:r w:rsidR="00620781" w:rsidRPr="0003702A">
        <w:t>financial</w:t>
      </w:r>
      <w:r w:rsidR="00C05341" w:rsidRPr="0003702A">
        <w:t xml:space="preserve"> sustainability</w:t>
      </w:r>
      <w:r w:rsidR="00620781" w:rsidRPr="0003702A">
        <w:t>.</w:t>
      </w:r>
    </w:p>
    <w:p w:rsidR="00980E02" w:rsidRPr="0003702A" w:rsidRDefault="00DB0122" w:rsidP="00345667">
      <w:pPr>
        <w:pStyle w:val="BodyText"/>
      </w:pPr>
      <w:r w:rsidRPr="0003702A">
        <w:t>The criterion states that a</w:t>
      </w:r>
      <w:r w:rsidR="00620781" w:rsidRPr="0003702A">
        <w:t>ll these aspects</w:t>
      </w:r>
      <w:r w:rsidR="00104B1C" w:rsidRPr="0003702A">
        <w:t xml:space="preserve"> </w:t>
      </w:r>
      <w:r w:rsidR="003F3611" w:rsidRPr="0003702A">
        <w:t xml:space="preserve">must be identified and articulated in </w:t>
      </w:r>
      <w:r w:rsidR="00BC4F05" w:rsidRPr="0003702A">
        <w:t xml:space="preserve">the council’s </w:t>
      </w:r>
      <w:r w:rsidR="002F407D" w:rsidRPr="0003702A">
        <w:t>IP&amp;R</w:t>
      </w:r>
      <w:r w:rsidR="00ED6D39" w:rsidRPr="0003702A">
        <w:t xml:space="preserve"> </w:t>
      </w:r>
      <w:r w:rsidR="00E13596" w:rsidRPr="0003702A">
        <w:t>documents</w:t>
      </w:r>
      <w:r w:rsidR="00620781" w:rsidRPr="0003702A">
        <w:t>.</w:t>
      </w:r>
    </w:p>
    <w:p w:rsidR="007A72DD" w:rsidRDefault="00104B1C" w:rsidP="007A72DD">
      <w:pPr>
        <w:pStyle w:val="BodyText"/>
      </w:pPr>
      <w:r w:rsidRPr="0028119F">
        <w:t>A</w:t>
      </w:r>
      <w:r w:rsidR="00620781" w:rsidRPr="0028119F">
        <w:t>t the highest level</w:t>
      </w:r>
      <w:r w:rsidRPr="0028119F">
        <w:t xml:space="preserve">, </w:t>
      </w:r>
      <w:r w:rsidR="00DB0122" w:rsidRPr="0028119F">
        <w:t xml:space="preserve">please </w:t>
      </w:r>
      <w:r w:rsidR="007A72DD" w:rsidRPr="0028119F">
        <w:t>indicat</w:t>
      </w:r>
      <w:r w:rsidR="00DB0122" w:rsidRPr="0028119F">
        <w:t>e</w:t>
      </w:r>
      <w:r w:rsidR="007A72DD" w:rsidRPr="0028119F">
        <w:t xml:space="preserve"> the key purpose</w:t>
      </w:r>
      <w:r w:rsidR="00DB0122" w:rsidRPr="0028119F">
        <w:t>(s)</w:t>
      </w:r>
      <w:r w:rsidR="007A72DD" w:rsidRPr="0028119F">
        <w:t xml:space="preserve"> of the </w:t>
      </w:r>
      <w:r w:rsidRPr="0028119F">
        <w:t xml:space="preserve">special </w:t>
      </w:r>
      <w:r w:rsidR="007A72DD" w:rsidRPr="0028119F">
        <w:t xml:space="preserve">variation by marking </w:t>
      </w:r>
      <w:r w:rsidR="00B606B0" w:rsidRPr="0028119F">
        <w:t xml:space="preserve">one or more of the </w:t>
      </w:r>
      <w:r w:rsidR="007A72DD" w:rsidRPr="0028119F">
        <w:t>box</w:t>
      </w:r>
      <w:r w:rsidR="00EA5C75" w:rsidRPr="0028119F">
        <w:t>es</w:t>
      </w:r>
      <w:r w:rsidR="007A72DD" w:rsidRPr="0028119F">
        <w:t xml:space="preserve"> </w:t>
      </w:r>
      <w:r w:rsidR="00B54DC0" w:rsidRPr="0028119F">
        <w:t xml:space="preserve">below </w:t>
      </w:r>
      <w:r w:rsidR="007A72DD" w:rsidRPr="0028119F">
        <w:t>with an “x”.</w:t>
      </w:r>
    </w:p>
    <w:p w:rsidR="00EA5C75" w:rsidRPr="00104B1C" w:rsidRDefault="00EA5C75" w:rsidP="00EA5C75">
      <w:pPr>
        <w:pStyle w:val="BodyText"/>
      </w:pPr>
      <w:r w:rsidRPr="00104B1C">
        <w:t>Maintain existing services</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0028119F">
        <w:fldChar w:fldCharType="begin">
          <w:ffData>
            <w:name w:val="Check4"/>
            <w:enabled/>
            <w:calcOnExit w:val="0"/>
            <w:checkBox>
              <w:sizeAuto/>
              <w:default w:val="0"/>
            </w:checkBox>
          </w:ffData>
        </w:fldChar>
      </w:r>
      <w:bookmarkStart w:id="6" w:name="Check4"/>
      <w:r w:rsidR="0028119F">
        <w:instrText xml:space="preserve"> FORMCHECKBOX </w:instrText>
      </w:r>
      <w:r w:rsidR="004B36A1">
        <w:fldChar w:fldCharType="separate"/>
      </w:r>
      <w:r w:rsidR="0028119F">
        <w:fldChar w:fldCharType="end"/>
      </w:r>
      <w:bookmarkEnd w:id="6"/>
    </w:p>
    <w:p w:rsidR="00EA5C75" w:rsidRPr="00104B1C" w:rsidRDefault="00EA5C75" w:rsidP="00EA5C75">
      <w:pPr>
        <w:pStyle w:val="BodyText"/>
      </w:pPr>
      <w:r w:rsidRPr="00104B1C">
        <w:t>Enhance financial sustainability</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004D18D8">
        <w:fldChar w:fldCharType="begin">
          <w:ffData>
            <w:name w:val=""/>
            <w:enabled/>
            <w:calcOnExit w:val="0"/>
            <w:checkBox>
              <w:sizeAuto/>
              <w:default w:val="1"/>
            </w:checkBox>
          </w:ffData>
        </w:fldChar>
      </w:r>
      <w:r w:rsidR="004D18D8">
        <w:instrText xml:space="preserve"> FORMCHECKBOX </w:instrText>
      </w:r>
      <w:r w:rsidR="004B36A1">
        <w:fldChar w:fldCharType="separate"/>
      </w:r>
      <w:r w:rsidR="004D18D8">
        <w:fldChar w:fldCharType="end"/>
      </w:r>
    </w:p>
    <w:p w:rsidR="00EA5C75" w:rsidRPr="00104B1C" w:rsidRDefault="00EA5C75" w:rsidP="00EA5C75">
      <w:pPr>
        <w:pStyle w:val="BodyText"/>
      </w:pPr>
      <w:r w:rsidRPr="00104B1C">
        <w:t>Environmental works</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fldChar w:fldCharType="begin">
          <w:ffData>
            <w:name w:val="Check3"/>
            <w:enabled/>
            <w:calcOnExit w:val="0"/>
            <w:checkBox>
              <w:sizeAuto/>
              <w:default w:val="0"/>
            </w:checkBox>
          </w:ffData>
        </w:fldChar>
      </w:r>
      <w:bookmarkStart w:id="7" w:name="Check3"/>
      <w:r w:rsidRPr="00104B1C">
        <w:instrText xml:space="preserve"> FORMCHECKBOX </w:instrText>
      </w:r>
      <w:r w:rsidR="004B36A1">
        <w:fldChar w:fldCharType="separate"/>
      </w:r>
      <w:r w:rsidRPr="00104B1C">
        <w:fldChar w:fldCharType="end"/>
      </w:r>
      <w:bookmarkEnd w:id="7"/>
    </w:p>
    <w:p w:rsidR="007A72DD" w:rsidRPr="00104B1C" w:rsidRDefault="007A72DD" w:rsidP="007A72DD">
      <w:pPr>
        <w:pStyle w:val="BodyText"/>
      </w:pPr>
      <w:r w:rsidRPr="00104B1C">
        <w:t>Infrastructure maintenance / renewal</w:t>
      </w:r>
      <w:r w:rsidRPr="00104B1C">
        <w:tab/>
      </w:r>
      <w:r w:rsidRPr="00104B1C">
        <w:tab/>
      </w:r>
      <w:r w:rsidRPr="00104B1C">
        <w:tab/>
      </w:r>
      <w:r w:rsidRPr="00104B1C">
        <w:tab/>
      </w:r>
      <w:r w:rsidRPr="00104B1C">
        <w:tab/>
      </w:r>
      <w:r w:rsidRPr="00104B1C">
        <w:tab/>
      </w:r>
      <w:r w:rsidRPr="00104B1C">
        <w:tab/>
      </w:r>
      <w:r w:rsidRPr="00104B1C">
        <w:tab/>
      </w:r>
      <w:r w:rsidR="004D18D8">
        <w:fldChar w:fldCharType="begin">
          <w:ffData>
            <w:name w:val="Check1"/>
            <w:enabled/>
            <w:calcOnExit w:val="0"/>
            <w:checkBox>
              <w:sizeAuto/>
              <w:default w:val="1"/>
            </w:checkBox>
          </w:ffData>
        </w:fldChar>
      </w:r>
      <w:bookmarkStart w:id="8" w:name="Check1"/>
      <w:r w:rsidR="004D18D8">
        <w:instrText xml:space="preserve"> FORMCHECKBOX </w:instrText>
      </w:r>
      <w:r w:rsidR="004B36A1">
        <w:fldChar w:fldCharType="separate"/>
      </w:r>
      <w:r w:rsidR="004D18D8">
        <w:fldChar w:fldCharType="end"/>
      </w:r>
      <w:bookmarkEnd w:id="8"/>
    </w:p>
    <w:p w:rsidR="00EA5C75" w:rsidRPr="00104B1C" w:rsidRDefault="00EA5C75" w:rsidP="00EA5C75">
      <w:pPr>
        <w:pStyle w:val="BodyText"/>
      </w:pPr>
      <w:r w:rsidRPr="00104B1C">
        <w:t>Reduce infrastructure backlogs</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fldChar w:fldCharType="begin">
          <w:ffData>
            <w:name w:val="Check2"/>
            <w:enabled/>
            <w:calcOnExit w:val="0"/>
            <w:checkBox>
              <w:sizeAuto/>
              <w:default w:val="0"/>
              <w:checked w:val="0"/>
            </w:checkBox>
          </w:ffData>
        </w:fldChar>
      </w:r>
      <w:r w:rsidRPr="00104B1C">
        <w:instrText xml:space="preserve"> FORMCHECKBOX </w:instrText>
      </w:r>
      <w:r w:rsidR="004B36A1">
        <w:fldChar w:fldCharType="separate"/>
      </w:r>
      <w:r w:rsidRPr="00104B1C">
        <w:fldChar w:fldCharType="end"/>
      </w:r>
    </w:p>
    <w:p w:rsidR="007A72DD" w:rsidRPr="00104B1C" w:rsidRDefault="007A72DD" w:rsidP="007A72DD">
      <w:pPr>
        <w:pStyle w:val="BodyText"/>
      </w:pPr>
      <w:r w:rsidRPr="00104B1C">
        <w:t>New infrastructure investment</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fldChar w:fldCharType="begin">
          <w:ffData>
            <w:name w:val="Check2"/>
            <w:enabled/>
            <w:calcOnExit w:val="0"/>
            <w:checkBox>
              <w:sizeAuto/>
              <w:default w:val="0"/>
              <w:checked w:val="0"/>
            </w:checkBox>
          </w:ffData>
        </w:fldChar>
      </w:r>
      <w:bookmarkStart w:id="9" w:name="Check2"/>
      <w:r w:rsidRPr="00104B1C">
        <w:instrText xml:space="preserve"> FORMCHECKBOX </w:instrText>
      </w:r>
      <w:r w:rsidR="004B36A1">
        <w:fldChar w:fldCharType="separate"/>
      </w:r>
      <w:r w:rsidRPr="00104B1C">
        <w:fldChar w:fldCharType="end"/>
      </w:r>
      <w:bookmarkEnd w:id="9"/>
    </w:p>
    <w:p w:rsidR="007A72DD" w:rsidRDefault="007A72DD" w:rsidP="007A72DD">
      <w:pPr>
        <w:pStyle w:val="BodyText"/>
      </w:pPr>
      <w:r w:rsidRPr="00104B1C">
        <w:lastRenderedPageBreak/>
        <w:t>Other (specify)</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fldChar w:fldCharType="begin">
          <w:ffData>
            <w:name w:val="Check5"/>
            <w:enabled/>
            <w:calcOnExit w:val="0"/>
            <w:checkBox>
              <w:sizeAuto/>
              <w:default w:val="0"/>
            </w:checkBox>
          </w:ffData>
        </w:fldChar>
      </w:r>
      <w:bookmarkStart w:id="10" w:name="Check5"/>
      <w:r w:rsidRPr="00104B1C">
        <w:instrText xml:space="preserve"> FORMCHECKBOX </w:instrText>
      </w:r>
      <w:r w:rsidR="004B36A1">
        <w:fldChar w:fldCharType="separate"/>
      </w:r>
      <w:r w:rsidRPr="00104B1C">
        <w:fldChar w:fldCharType="end"/>
      </w:r>
      <w:bookmarkEnd w:id="10"/>
    </w:p>
    <w:p w:rsidR="00C16AC5" w:rsidRDefault="00C16AC5" w:rsidP="00AC0BF5">
      <w:pPr>
        <w:pStyle w:val="BodyText"/>
      </w:pPr>
    </w:p>
    <w:p w:rsidR="00AC0BF5" w:rsidRPr="00B47383" w:rsidRDefault="002458DB" w:rsidP="00AC0BF5">
      <w:pPr>
        <w:pStyle w:val="BodyText"/>
      </w:pPr>
      <w:r w:rsidRPr="00B47383">
        <w:t>S</w:t>
      </w:r>
      <w:r w:rsidR="00183E25" w:rsidRPr="00B47383">
        <w:t xml:space="preserve">ummarise </w:t>
      </w:r>
      <w:r w:rsidRPr="00B47383">
        <w:t xml:space="preserve">below </w:t>
      </w:r>
      <w:r w:rsidR="00BC4F05" w:rsidRPr="00B47383">
        <w:t xml:space="preserve">the council’s </w:t>
      </w:r>
      <w:r w:rsidR="00183E25" w:rsidRPr="00B47383">
        <w:t xml:space="preserve">need for the special variation. </w:t>
      </w:r>
      <w:r w:rsidR="00AC0BF5" w:rsidRPr="00B47383">
        <w:t xml:space="preserve"> Comment on how th</w:t>
      </w:r>
      <w:r w:rsidRPr="00B47383">
        <w:t>e</w:t>
      </w:r>
      <w:r w:rsidR="00AC0BF5" w:rsidRPr="00B47383">
        <w:t xml:space="preserve"> need is </w:t>
      </w:r>
      <w:r w:rsidRPr="00B47383">
        <w:t>captured</w:t>
      </w:r>
      <w:r w:rsidR="00AC0BF5" w:rsidRPr="00B47383">
        <w:t xml:space="preserve"> in </w:t>
      </w:r>
      <w:r w:rsidR="00DB0122" w:rsidRPr="00B47383">
        <w:t xml:space="preserve">the </w:t>
      </w:r>
      <w:r w:rsidRPr="00B47383">
        <w:t>IP&amp;R do</w:t>
      </w:r>
      <w:r w:rsidR="00AC0BF5" w:rsidRPr="00B47383">
        <w:t xml:space="preserve">cuments, especially </w:t>
      </w:r>
      <w:r w:rsidR="003515CF" w:rsidRPr="00B47383">
        <w:t>the</w:t>
      </w:r>
      <w:r w:rsidR="00AC0BF5" w:rsidRPr="00B47383">
        <w:t xml:space="preserve"> Lon</w:t>
      </w:r>
      <w:r w:rsidR="00600721" w:rsidRPr="00B47383">
        <w:t>g Term Financial Plan (LTFP)</w:t>
      </w:r>
      <w:r w:rsidR="009C6218" w:rsidRPr="00B47383">
        <w:t xml:space="preserve"> and the</w:t>
      </w:r>
      <w:r w:rsidR="00AC0BF5" w:rsidRPr="00B47383">
        <w:t xml:space="preserve"> Delivery Program</w:t>
      </w:r>
      <w:r w:rsidR="00B54DC0" w:rsidRPr="00B47383">
        <w:t>, and, where appropriate, the Asset Management Plan (AMP)</w:t>
      </w:r>
      <w:r w:rsidR="009C6218" w:rsidRPr="00B47383">
        <w:t>.</w:t>
      </w:r>
      <w:r w:rsidRPr="00B47383">
        <w:t xml:space="preserve">  Note that the</w:t>
      </w:r>
      <w:r w:rsidR="00AC0BF5" w:rsidRPr="00B47383">
        <w:t xml:space="preserve"> LTFP </w:t>
      </w:r>
      <w:r w:rsidR="009C6218" w:rsidRPr="00B47383">
        <w:t>i</w:t>
      </w:r>
      <w:r w:rsidR="00AC0BF5" w:rsidRPr="00B47383">
        <w:t>s</w:t>
      </w:r>
      <w:r w:rsidR="009C6218" w:rsidRPr="00B47383">
        <w:t xml:space="preserve"> to include</w:t>
      </w:r>
      <w:r w:rsidR="00AC0BF5" w:rsidRPr="00B47383">
        <w:t xml:space="preserve"> both a ‘baseline scenario’ and an ‘SV scenario’ as defined in the </w:t>
      </w:r>
      <w:r w:rsidR="00AC0BF5" w:rsidRPr="00B47383">
        <w:rPr>
          <w:i/>
        </w:rPr>
        <w:t>Guidelines</w:t>
      </w:r>
      <w:r w:rsidR="009C6218" w:rsidRPr="00B47383">
        <w:t>.</w:t>
      </w:r>
    </w:p>
    <w:p w:rsidR="00336BC7" w:rsidRPr="00B47383" w:rsidRDefault="00336BC7" w:rsidP="00336BC7">
      <w:pPr>
        <w:rPr>
          <w:rFonts w:asciiTheme="minorHAnsi" w:hAnsiTheme="minorHAnsi"/>
          <w:b/>
          <w:sz w:val="22"/>
          <w:szCs w:val="22"/>
        </w:rPr>
      </w:pPr>
    </w:p>
    <w:p w:rsidR="00183E25" w:rsidRPr="00B17EC1" w:rsidRDefault="00183E25" w:rsidP="00183E25">
      <w:pPr>
        <w:pStyle w:val="BodyText"/>
      </w:pPr>
      <w:r w:rsidRPr="00B47383">
        <w:t xml:space="preserve">If </w:t>
      </w:r>
      <w:r w:rsidR="00DB0122" w:rsidRPr="00B47383">
        <w:t xml:space="preserve">the special variation seeks </w:t>
      </w:r>
      <w:r w:rsidRPr="00B47383">
        <w:t>funding for</w:t>
      </w:r>
      <w:r>
        <w:t xml:space="preserve"> contributions plan costs </w:t>
      </w:r>
      <w:r w:rsidRPr="00B17EC1">
        <w:t>above the develop</w:t>
      </w:r>
      <w:r>
        <w:t>ment</w:t>
      </w:r>
      <w:r w:rsidRPr="00B17EC1">
        <w:t xml:space="preserve"> contributions cap</w:t>
      </w:r>
      <w:r w:rsidRPr="0003702A">
        <w:t xml:space="preserve">, </w:t>
      </w:r>
      <w:r w:rsidR="009644BD" w:rsidRPr="0003702A">
        <w:t xml:space="preserve">refer to </w:t>
      </w:r>
      <w:r w:rsidRPr="0003702A">
        <w:t>Box 3</w:t>
      </w:r>
      <w:r>
        <w:t>.1</w:t>
      </w:r>
      <w:r w:rsidRPr="00B17EC1">
        <w:t>.</w:t>
      </w:r>
      <w:r w:rsidRPr="00B17EC1">
        <w:rPr>
          <w:rStyle w:val="FootnoteReference"/>
        </w:rPr>
        <w:footnoteReference w:id="1"/>
      </w:r>
      <w:r w:rsidR="009644BD">
        <w:t xml:space="preserve">  </w:t>
      </w:r>
    </w:p>
    <w:p w:rsidR="00183E25" w:rsidRPr="00B17EC1" w:rsidRDefault="00183E25" w:rsidP="00183E25">
      <w:pPr>
        <w:pStyle w:val="Invisiblepara"/>
      </w:pPr>
    </w:p>
    <w:tbl>
      <w:tblPr>
        <w:tblW w:w="0" w:type="auto"/>
        <w:tblLayout w:type="fixed"/>
        <w:tblCellMar>
          <w:left w:w="28" w:type="dxa"/>
          <w:right w:w="28" w:type="dxa"/>
        </w:tblCellMar>
        <w:tblLook w:val="0000" w:firstRow="0" w:lastRow="0" w:firstColumn="0" w:lastColumn="0" w:noHBand="0" w:noVBand="0"/>
      </w:tblPr>
      <w:tblGrid>
        <w:gridCol w:w="7938"/>
      </w:tblGrid>
      <w:tr w:rsidR="00183E25" w:rsidRPr="00B17EC1" w:rsidTr="001B2CCD">
        <w:trPr>
          <w:cantSplit/>
        </w:trPr>
        <w:tc>
          <w:tcPr>
            <w:tcW w:w="7938" w:type="dxa"/>
            <w:tcBorders>
              <w:top w:val="single" w:sz="24" w:space="0" w:color="7C7C7C"/>
            </w:tcBorders>
            <w:shd w:val="clear" w:color="auto" w:fill="auto"/>
            <w:tcMar>
              <w:left w:w="0" w:type="dxa"/>
              <w:right w:w="0" w:type="dxa"/>
            </w:tcMar>
          </w:tcPr>
          <w:p w:rsidR="00183E25" w:rsidRPr="00B17EC1" w:rsidRDefault="00183E25" w:rsidP="001B2CCD">
            <w:pPr>
              <w:pStyle w:val="BoxTitle"/>
            </w:pPr>
            <w:r w:rsidRPr="00B17EC1">
              <w:fldChar w:fldCharType="begin"/>
            </w:r>
            <w:r w:rsidRPr="00B17EC1">
              <w:instrText xml:space="preserve"> IF 1 = 1 "Box </w:instrText>
            </w:r>
            <w:r w:rsidRPr="00B17EC1">
              <w:fldChar w:fldCharType="begin"/>
            </w:r>
            <w:r w:rsidRPr="00B17EC1">
              <w:instrText xml:space="preserve"> IF </w:instrText>
            </w:r>
            <w:fldSimple w:instr=" STYLEREF &quot;Heading 6&quot; \l \n ">
              <w:r w:rsidR="004235D0">
                <w:rPr>
                  <w:noProof/>
                </w:rPr>
                <w:instrText>0</w:instrText>
              </w:r>
            </w:fldSimple>
            <w:r w:rsidRPr="00B17EC1">
              <w:instrText xml:space="preserve"> = 0 "</w:instrText>
            </w:r>
            <w:r w:rsidRPr="00B17EC1">
              <w:fldChar w:fldCharType="begin"/>
            </w:r>
            <w:r w:rsidRPr="00B17EC1">
              <w:instrText xml:space="preserve"> IF </w:instrText>
            </w:r>
            <w:fldSimple w:instr=" STYLEREF &quot;Heading 1&quot; \l \n ">
              <w:r w:rsidR="004235D0">
                <w:rPr>
                  <w:noProof/>
                </w:rPr>
                <w:instrText>3</w:instrText>
              </w:r>
            </w:fldSimple>
            <w:r w:rsidRPr="00B17EC1">
              <w:instrText xml:space="preserve"> = 0 "" "</w:instrText>
            </w:r>
            <w:fldSimple w:instr=" STYLEREF &quot;Heading 1&quot; \l \n ">
              <w:r w:rsidR="004235D0">
                <w:rPr>
                  <w:noProof/>
                </w:rPr>
                <w:instrText>3</w:instrText>
              </w:r>
            </w:fldSimple>
            <w:r w:rsidRPr="00B17EC1">
              <w:instrText xml:space="preserve">." </w:instrText>
            </w:r>
            <w:r w:rsidRPr="00B17EC1">
              <w:fldChar w:fldCharType="separate"/>
            </w:r>
            <w:r w:rsidR="004235D0">
              <w:rPr>
                <w:noProof/>
              </w:rPr>
              <w:instrText>3</w:instrText>
            </w:r>
            <w:r w:rsidR="004235D0" w:rsidRPr="00B17EC1">
              <w:rPr>
                <w:noProof/>
              </w:rPr>
              <w:instrText>.</w:instrText>
            </w:r>
            <w:r w:rsidRPr="00B17EC1">
              <w:fldChar w:fldCharType="end"/>
            </w:r>
            <w:r w:rsidRPr="00B17EC1">
              <w:instrText>" "</w:instrText>
            </w:r>
            <w:r w:rsidRPr="00B17EC1">
              <w:fldChar w:fldCharType="begin"/>
            </w:r>
            <w:r w:rsidRPr="00B17EC1">
              <w:instrText xml:space="preserve"> STYLEREF "Heading 6" \l \n </w:instrText>
            </w:r>
            <w:r w:rsidRPr="00B17EC1">
              <w:fldChar w:fldCharType="separate"/>
            </w:r>
            <w:r w:rsidRPr="00B17EC1">
              <w:instrText>Error! No text of specified style in document.</w:instrText>
            </w:r>
            <w:r w:rsidRPr="00B17EC1">
              <w:fldChar w:fldCharType="end"/>
            </w:r>
            <w:r w:rsidRPr="00B17EC1">
              <w:instrText xml:space="preserve">." </w:instrText>
            </w:r>
            <w:r w:rsidRPr="00B17EC1">
              <w:fldChar w:fldCharType="separate"/>
            </w:r>
            <w:r w:rsidR="004235D0">
              <w:rPr>
                <w:noProof/>
              </w:rPr>
              <w:instrText>3</w:instrText>
            </w:r>
            <w:r w:rsidR="004235D0" w:rsidRPr="00B17EC1">
              <w:rPr>
                <w:noProof/>
              </w:rPr>
              <w:instrText>.</w:instrText>
            </w:r>
            <w:r w:rsidRPr="00B17EC1">
              <w:fldChar w:fldCharType="end"/>
            </w:r>
            <w:r w:rsidRPr="00B17EC1">
              <w:fldChar w:fldCharType="begin"/>
            </w:r>
            <w:r w:rsidRPr="00B17EC1">
              <w:instrText xml:space="preserve"> SEQ Box \* ARABIC \s </w:instrText>
            </w:r>
            <w:r w:rsidRPr="00B17EC1">
              <w:fldChar w:fldCharType="begin"/>
            </w:r>
            <w:r w:rsidRPr="00B17EC1">
              <w:instrText xml:space="preserve"> IF </w:instrText>
            </w:r>
            <w:fldSimple w:instr=" STYLEREF &quot;Heading 6&quot; \l \n ">
              <w:r w:rsidR="004235D0">
                <w:rPr>
                  <w:noProof/>
                </w:rPr>
                <w:instrText>0</w:instrText>
              </w:r>
            </w:fldSimple>
            <w:r w:rsidRPr="00B17EC1">
              <w:instrText xml:space="preserve"> = 0 "</w:instrText>
            </w:r>
            <w:r w:rsidRPr="00B17EC1">
              <w:fldChar w:fldCharType="begin"/>
            </w:r>
            <w:r w:rsidRPr="00B17EC1">
              <w:instrText xml:space="preserve"> IF </w:instrText>
            </w:r>
            <w:fldSimple w:instr=" STYLEREF &quot;Heading 1&quot; \l \n ">
              <w:r w:rsidR="004235D0">
                <w:rPr>
                  <w:noProof/>
                </w:rPr>
                <w:instrText>3</w:instrText>
              </w:r>
            </w:fldSimple>
            <w:r w:rsidRPr="00B17EC1">
              <w:instrText xml:space="preserve"> = 0 "" "1" </w:instrText>
            </w:r>
            <w:r w:rsidRPr="00B17EC1">
              <w:fldChar w:fldCharType="separate"/>
            </w:r>
            <w:r w:rsidR="004235D0" w:rsidRPr="00B17EC1">
              <w:rPr>
                <w:noProof/>
              </w:rPr>
              <w:instrText>1</w:instrText>
            </w:r>
            <w:r w:rsidRPr="00B17EC1">
              <w:fldChar w:fldCharType="end"/>
            </w:r>
            <w:r w:rsidRPr="00B17EC1">
              <w:instrText xml:space="preserve">" "6" </w:instrText>
            </w:r>
            <w:r w:rsidRPr="00B17EC1">
              <w:fldChar w:fldCharType="separate"/>
            </w:r>
            <w:r w:rsidR="004235D0" w:rsidRPr="00B17EC1">
              <w:rPr>
                <w:noProof/>
              </w:rPr>
              <w:instrText>1</w:instrText>
            </w:r>
            <w:r w:rsidRPr="00B17EC1">
              <w:fldChar w:fldCharType="end"/>
            </w:r>
            <w:r w:rsidRPr="00B17EC1">
              <w:instrText xml:space="preserve"> </w:instrText>
            </w:r>
            <w:r w:rsidRPr="00B17EC1">
              <w:fldChar w:fldCharType="separate"/>
            </w:r>
            <w:r w:rsidR="004235D0">
              <w:rPr>
                <w:noProof/>
              </w:rPr>
              <w:instrText>1</w:instrText>
            </w:r>
            <w:r w:rsidRPr="00B17EC1">
              <w:fldChar w:fldCharType="end"/>
            </w:r>
            <w:r w:rsidRPr="00B17EC1">
              <w:instrText xml:space="preserve">" "" </w:instrText>
            </w:r>
            <w:r w:rsidRPr="00B17EC1">
              <w:fldChar w:fldCharType="separate"/>
            </w:r>
            <w:bookmarkStart w:id="11" w:name="_Box4651"/>
            <w:bookmarkStart w:id="12" w:name="_Box1438"/>
            <w:bookmarkStart w:id="13" w:name="_Box5070"/>
            <w:r w:rsidR="004235D0" w:rsidRPr="00B17EC1">
              <w:rPr>
                <w:noProof/>
              </w:rPr>
              <w:t xml:space="preserve">Box </w:t>
            </w:r>
            <w:r w:rsidR="004235D0">
              <w:rPr>
                <w:noProof/>
              </w:rPr>
              <w:t>3</w:t>
            </w:r>
            <w:r w:rsidR="004235D0" w:rsidRPr="00B17EC1">
              <w:rPr>
                <w:noProof/>
              </w:rPr>
              <w:t>.</w:t>
            </w:r>
            <w:r w:rsidR="004235D0">
              <w:rPr>
                <w:noProof/>
              </w:rPr>
              <w:t>1</w:t>
            </w:r>
            <w:bookmarkEnd w:id="11"/>
            <w:bookmarkEnd w:id="12"/>
            <w:bookmarkEnd w:id="13"/>
            <w:r w:rsidRPr="00B17EC1">
              <w:fldChar w:fldCharType="end"/>
            </w:r>
            <w:r w:rsidRPr="00B17EC1">
              <w:tab/>
              <w:t xml:space="preserve">Special variations for </w:t>
            </w:r>
            <w:r>
              <w:t>development contributions plan</w:t>
            </w:r>
            <w:r w:rsidRPr="00B17EC1">
              <w:t xml:space="preserve"> costs above the developer</w:t>
            </w:r>
            <w:r>
              <w:t xml:space="preserve"> </w:t>
            </w:r>
            <w:r w:rsidRPr="00B17EC1">
              <w:t>cap</w:t>
            </w:r>
          </w:p>
        </w:tc>
      </w:tr>
      <w:tr w:rsidR="00183E25" w:rsidRPr="00B17EC1" w:rsidTr="001B2CCD">
        <w:trPr>
          <w:cantSplit/>
        </w:trPr>
        <w:tc>
          <w:tcPr>
            <w:tcW w:w="7938" w:type="dxa"/>
            <w:shd w:val="clear" w:color="auto" w:fill="auto"/>
            <w:tcMar>
              <w:left w:w="0" w:type="dxa"/>
              <w:right w:w="0" w:type="dxa"/>
            </w:tcMar>
          </w:tcPr>
          <w:p w:rsidR="00183E25" w:rsidRPr="00B17EC1" w:rsidRDefault="00183E25" w:rsidP="001B2CCD">
            <w:pPr>
              <w:pStyle w:val="BoxText"/>
              <w:rPr>
                <w:bCs/>
              </w:rPr>
            </w:pPr>
            <w:r>
              <w:t xml:space="preserve">For </w:t>
            </w:r>
            <w:r w:rsidRPr="00B17EC1">
              <w:t xml:space="preserve">costs above the cap in contributions plans, </w:t>
            </w:r>
            <w:r>
              <w:t>a c</w:t>
            </w:r>
            <w:r w:rsidRPr="00B17EC1">
              <w:t>ouncil must</w:t>
            </w:r>
            <w:r w:rsidRPr="00B17EC1">
              <w:rPr>
                <w:i/>
              </w:rPr>
              <w:t xml:space="preserve"> </w:t>
            </w:r>
            <w:r w:rsidRPr="00B17EC1">
              <w:t>provide:</w:t>
            </w:r>
          </w:p>
          <w:p w:rsidR="00183E25" w:rsidRDefault="00183E25" w:rsidP="001B2CCD">
            <w:pPr>
              <w:pStyle w:val="BoxListBullet"/>
            </w:pPr>
            <w:r>
              <w:t>a</w:t>
            </w:r>
            <w:r w:rsidRPr="00B17EC1">
              <w:t xml:space="preserve"> copy of the council’s s</w:t>
            </w:r>
            <w:r w:rsidR="009644BD">
              <w:t xml:space="preserve">ection </w:t>
            </w:r>
            <w:r w:rsidRPr="00B17EC1">
              <w:t>94 contributions plan</w:t>
            </w:r>
            <w:r>
              <w:t xml:space="preserve"> </w:t>
            </w:r>
          </w:p>
          <w:p w:rsidR="00183E25" w:rsidRDefault="00183E25" w:rsidP="001B2CCD">
            <w:pPr>
              <w:pStyle w:val="BoxListBullet"/>
            </w:pPr>
            <w:r>
              <w:t>a copy of the Minister for Planning and Infrastructure’s response to IPART’s review and details of how the council has subsequently amended the contributions plan</w:t>
            </w:r>
          </w:p>
          <w:p w:rsidR="00183E25" w:rsidRPr="00385582" w:rsidRDefault="00183E25" w:rsidP="001B2CCD">
            <w:pPr>
              <w:pStyle w:val="BoxListBullet"/>
            </w:pPr>
            <w:r>
              <w:t xml:space="preserve">details of any other funding sources that the council is </w:t>
            </w:r>
            <w:r w:rsidRPr="00385582">
              <w:t>proposing to seek to use</w:t>
            </w:r>
          </w:p>
          <w:p w:rsidR="00183E25" w:rsidRPr="00B17EC1" w:rsidRDefault="00183E25" w:rsidP="001B2CCD">
            <w:pPr>
              <w:pStyle w:val="BoxListBullet"/>
            </w:pPr>
            <w:r>
              <w:t>a</w:t>
            </w:r>
            <w:r w:rsidRPr="00B17EC1">
              <w:t xml:space="preserve">ny reference to the proposed contributions (which were previously to be funded by developers) in </w:t>
            </w:r>
            <w:r>
              <w:t>the council’s</w:t>
            </w:r>
            <w:r w:rsidRPr="00B17EC1">
              <w:t xml:space="preserve"> planning documents (</w:t>
            </w:r>
            <w:proofErr w:type="spellStart"/>
            <w:r w:rsidRPr="00B17EC1">
              <w:t>eg</w:t>
            </w:r>
            <w:proofErr w:type="spellEnd"/>
            <w:r w:rsidRPr="00B17EC1">
              <w:t xml:space="preserve">, </w:t>
            </w:r>
            <w:r>
              <w:t xml:space="preserve">LTFP and </w:t>
            </w:r>
            <w:r w:rsidR="002A4F0D">
              <w:t>Asset Management Plans (</w:t>
            </w:r>
            <w:r>
              <w:t>AMP)</w:t>
            </w:r>
          </w:p>
          <w:p w:rsidR="00183E25" w:rsidRPr="00B17EC1" w:rsidRDefault="00183E25" w:rsidP="001B2CCD">
            <w:pPr>
              <w:pStyle w:val="BoxListBullet"/>
            </w:pPr>
            <w:proofErr w:type="gramStart"/>
            <w:r>
              <w:t>a</w:t>
            </w:r>
            <w:r w:rsidRPr="00B17EC1">
              <w:t>ny</w:t>
            </w:r>
            <w:proofErr w:type="gramEnd"/>
            <w:r w:rsidRPr="00B17EC1">
              <w:t xml:space="preserve"> necessary revisions to financial projections contained in the LTFP and AMP to reflect the special variation</w:t>
            </w:r>
            <w:r>
              <w:t>.</w:t>
            </w:r>
          </w:p>
        </w:tc>
      </w:tr>
      <w:tr w:rsidR="00183E25" w:rsidRPr="00B17EC1" w:rsidTr="001B2CCD">
        <w:trPr>
          <w:cantSplit/>
          <w:trHeight w:hRule="exact" w:val="198"/>
        </w:trPr>
        <w:tc>
          <w:tcPr>
            <w:tcW w:w="7938" w:type="dxa"/>
            <w:tcBorders>
              <w:bottom w:val="single" w:sz="24" w:space="0" w:color="7C7C7C"/>
            </w:tcBorders>
            <w:shd w:val="clear" w:color="auto" w:fill="auto"/>
            <w:tcMar>
              <w:left w:w="0" w:type="dxa"/>
              <w:right w:w="0" w:type="dxa"/>
            </w:tcMar>
          </w:tcPr>
          <w:p w:rsidR="00183E25" w:rsidRPr="00B17EC1" w:rsidRDefault="00183E25" w:rsidP="001B2CCD">
            <w:pPr>
              <w:pStyle w:val="Source"/>
              <w:keepNext/>
              <w:ind w:left="-57"/>
            </w:pPr>
          </w:p>
        </w:tc>
      </w:tr>
    </w:tbl>
    <w:p w:rsidR="00183E25" w:rsidRPr="00B17EC1" w:rsidRDefault="00183E25" w:rsidP="00183E25">
      <w:pPr>
        <w:pStyle w:val="Invisiblepara"/>
        <w:keepNext w:val="0"/>
        <w:spacing w:before="0" w:after="120" w:line="14" w:lineRule="exact"/>
      </w:pPr>
    </w:p>
    <w:p w:rsidR="00A5631B" w:rsidRDefault="00A5631B" w:rsidP="00183E25">
      <w:pPr>
        <w:pStyle w:val="BodyText"/>
      </w:pPr>
      <w:r>
        <w:t xml:space="preserve">If the special variation seeks funding for contributions plan costs </w:t>
      </w:r>
      <w:r w:rsidRPr="00B17EC1">
        <w:t>above the develop</w:t>
      </w:r>
      <w:r>
        <w:t>ment</w:t>
      </w:r>
      <w:r w:rsidRPr="00B17EC1">
        <w:t xml:space="preserve"> contributions cap</w:t>
      </w:r>
      <w:r>
        <w:t>, s</w:t>
      </w:r>
      <w:r w:rsidR="00600518" w:rsidRPr="0003702A">
        <w:t>et out below</w:t>
      </w:r>
      <w:r>
        <w:t>:</w:t>
      </w:r>
    </w:p>
    <w:p w:rsidR="00A5631B" w:rsidRDefault="00600518" w:rsidP="00A5631B">
      <w:pPr>
        <w:pStyle w:val="ListBullet"/>
      </w:pPr>
      <w:r w:rsidRPr="0003702A">
        <w:t xml:space="preserve"> details explaining how the council has established the need for a special variation to meet the shortfall in development contributions, and </w:t>
      </w:r>
    </w:p>
    <w:p w:rsidR="009644BD" w:rsidRDefault="00600518" w:rsidP="00A5631B">
      <w:pPr>
        <w:pStyle w:val="ListBullet"/>
      </w:pPr>
      <w:proofErr w:type="gramStart"/>
      <w:r w:rsidRPr="0003702A">
        <w:t>how</w:t>
      </w:r>
      <w:proofErr w:type="gramEnd"/>
      <w:r w:rsidRPr="0003702A">
        <w:t xml:space="preserve"> this is reflected in the council’s IP&amp;R documents.</w:t>
      </w:r>
      <w:r w:rsidR="009644BD">
        <w:t xml:space="preserve"> </w:t>
      </w:r>
    </w:p>
    <w:p w:rsidR="00600721" w:rsidRDefault="00600721" w:rsidP="00AC0BF5">
      <w:pPr>
        <w:pStyle w:val="Heading2"/>
      </w:pPr>
      <w:bookmarkStart w:id="14" w:name="_Toc380956887"/>
      <w:r>
        <w:t>Community needs</w:t>
      </w:r>
      <w:bookmarkEnd w:id="14"/>
    </w:p>
    <w:p w:rsidR="009C6218" w:rsidRDefault="009C6218" w:rsidP="009C6218">
      <w:pPr>
        <w:pStyle w:val="BodyText"/>
      </w:pPr>
      <w:r w:rsidRPr="00C16AC5">
        <w:t xml:space="preserve">Indicate how </w:t>
      </w:r>
      <w:r w:rsidR="002A4F0D" w:rsidRPr="00C16AC5">
        <w:t xml:space="preserve">the council has identified and </w:t>
      </w:r>
      <w:r w:rsidRPr="00C16AC5">
        <w:t xml:space="preserve">considered </w:t>
      </w:r>
      <w:r w:rsidR="002A4F0D" w:rsidRPr="00C16AC5">
        <w:t xml:space="preserve">the </w:t>
      </w:r>
      <w:r w:rsidRPr="00C16AC5">
        <w:t xml:space="preserve">community’s needs </w:t>
      </w:r>
      <w:r w:rsidR="002A4F0D" w:rsidRPr="00C16AC5">
        <w:t xml:space="preserve">and </w:t>
      </w:r>
      <w:r w:rsidR="0003702A">
        <w:t>desires</w:t>
      </w:r>
      <w:r w:rsidR="002A4F0D" w:rsidRPr="00C16AC5">
        <w:t xml:space="preserve"> in relation to matters such as levels of service delivery and asset maintenance and provision </w:t>
      </w:r>
      <w:r w:rsidRPr="00C16AC5">
        <w:t xml:space="preserve">in deciding to apply for a special variation. </w:t>
      </w:r>
      <w:r w:rsidR="002A4F0D" w:rsidRPr="00C16AC5">
        <w:t xml:space="preserve"> The application should include </w:t>
      </w:r>
      <w:r w:rsidRPr="00C16AC5">
        <w:t xml:space="preserve">extracts from, or references to, the IP&amp;R document(s) </w:t>
      </w:r>
      <w:r w:rsidR="002A4F0D" w:rsidRPr="00C16AC5">
        <w:t xml:space="preserve">that demonstrate how the </w:t>
      </w:r>
      <w:r w:rsidR="00A36FEC" w:rsidRPr="00C16AC5">
        <w:t xml:space="preserve">council meets this criterion.  </w:t>
      </w:r>
    </w:p>
    <w:p w:rsidR="00E96D88" w:rsidRDefault="00E96D88" w:rsidP="00B44027">
      <w:pPr>
        <w:rPr>
          <w:rFonts w:asciiTheme="minorHAnsi" w:hAnsiTheme="minorHAnsi"/>
          <w:b/>
          <w:color w:val="1F497D" w:themeColor="text2"/>
          <w:sz w:val="22"/>
          <w:szCs w:val="22"/>
        </w:rPr>
      </w:pPr>
    </w:p>
    <w:p w:rsidR="00E96D88" w:rsidRDefault="00E96D88">
      <w:pPr>
        <w:rPr>
          <w:rFonts w:asciiTheme="minorHAnsi" w:hAnsiTheme="minorHAnsi"/>
          <w:b/>
          <w:color w:val="1F497D" w:themeColor="text2"/>
          <w:sz w:val="22"/>
          <w:szCs w:val="22"/>
        </w:rPr>
      </w:pPr>
      <w:r>
        <w:rPr>
          <w:rFonts w:asciiTheme="minorHAnsi" w:hAnsiTheme="minorHAnsi"/>
          <w:b/>
          <w:color w:val="1F497D" w:themeColor="text2"/>
          <w:sz w:val="22"/>
          <w:szCs w:val="22"/>
        </w:rPr>
        <w:br w:type="page"/>
      </w:r>
    </w:p>
    <w:p w:rsidR="00B44027" w:rsidRPr="00B44027" w:rsidRDefault="00B44027" w:rsidP="00B44027">
      <w:pPr>
        <w:rPr>
          <w:rFonts w:asciiTheme="minorHAnsi" w:hAnsiTheme="minorHAnsi"/>
          <w:b/>
          <w:color w:val="1F497D" w:themeColor="text2"/>
          <w:sz w:val="22"/>
          <w:szCs w:val="22"/>
        </w:rPr>
      </w:pPr>
      <w:r w:rsidRPr="00B44027">
        <w:rPr>
          <w:rFonts w:asciiTheme="minorHAnsi" w:hAnsiTheme="minorHAnsi"/>
          <w:b/>
          <w:color w:val="1F497D" w:themeColor="text2"/>
          <w:sz w:val="22"/>
          <w:szCs w:val="22"/>
        </w:rPr>
        <w:lastRenderedPageBreak/>
        <w:t>Response:</w:t>
      </w:r>
    </w:p>
    <w:p w:rsidR="00B44027" w:rsidRPr="0018761A" w:rsidRDefault="00B44027" w:rsidP="00B44027">
      <w:pPr>
        <w:rPr>
          <w:rFonts w:asciiTheme="minorHAnsi" w:hAnsiTheme="minorHAnsi"/>
          <w:color w:val="1F497D" w:themeColor="text2"/>
          <w:sz w:val="22"/>
          <w:szCs w:val="22"/>
        </w:rPr>
      </w:pPr>
      <w:r>
        <w:rPr>
          <w:rFonts w:asciiTheme="minorHAnsi" w:hAnsiTheme="minorHAnsi"/>
          <w:color w:val="1F497D" w:themeColor="text2"/>
          <w:sz w:val="22"/>
          <w:szCs w:val="22"/>
        </w:rPr>
        <w:t xml:space="preserve">Council has a rate base of $6.1m and includes $1.9m in special variations providing a net base of $4.2m for which this application is proposed to apply to. </w:t>
      </w:r>
      <w:r w:rsidRPr="0018761A">
        <w:rPr>
          <w:rFonts w:asciiTheme="minorHAnsi" w:hAnsiTheme="minorHAnsi"/>
          <w:color w:val="1F497D" w:themeColor="text2"/>
          <w:sz w:val="22"/>
          <w:szCs w:val="22"/>
        </w:rPr>
        <w:t xml:space="preserve">As outlined in Council’s adopted LTFP 2014/15 – 2023/24 the following model is proposed: </w:t>
      </w:r>
    </w:p>
    <w:p w:rsidR="00B44027" w:rsidRPr="0018761A" w:rsidRDefault="00B44027" w:rsidP="00B44027">
      <w:pPr>
        <w:pStyle w:val="ListParagraph"/>
        <w:numPr>
          <w:ilvl w:val="0"/>
          <w:numId w:val="34"/>
        </w:numPr>
        <w:spacing w:line="276" w:lineRule="auto"/>
        <w:rPr>
          <w:rFonts w:asciiTheme="minorHAnsi" w:hAnsiTheme="minorHAnsi"/>
          <w:color w:val="1F497D" w:themeColor="text2"/>
          <w:sz w:val="22"/>
          <w:szCs w:val="22"/>
        </w:rPr>
      </w:pPr>
      <w:r w:rsidRPr="0018761A">
        <w:rPr>
          <w:rFonts w:asciiTheme="minorHAnsi" w:hAnsiTheme="minorHAnsi"/>
          <w:color w:val="1F497D" w:themeColor="text2"/>
          <w:sz w:val="22"/>
          <w:szCs w:val="22"/>
        </w:rPr>
        <w:t>2013/14 -</w:t>
      </w:r>
      <w:r>
        <w:rPr>
          <w:rFonts w:asciiTheme="minorHAnsi" w:hAnsiTheme="minorHAnsi"/>
          <w:color w:val="1F497D" w:themeColor="text2"/>
          <w:sz w:val="22"/>
          <w:szCs w:val="22"/>
        </w:rPr>
        <w:t xml:space="preserve"> </w:t>
      </w:r>
      <w:r w:rsidRPr="0018761A">
        <w:rPr>
          <w:rFonts w:asciiTheme="minorHAnsi" w:hAnsiTheme="minorHAnsi"/>
          <w:color w:val="1F497D" w:themeColor="text2"/>
          <w:sz w:val="22"/>
          <w:szCs w:val="22"/>
        </w:rPr>
        <w:t>Permanent 6% increase excluding application to existing special rate variations in place (including rate-peg) for village enhancement and asset renewal purposes. This variation will raise the general rate yield by an est</w:t>
      </w:r>
      <w:r w:rsidRPr="003319EA">
        <w:rPr>
          <w:rFonts w:asciiTheme="minorHAnsi" w:hAnsiTheme="minorHAnsi"/>
          <w:color w:val="1F497D" w:themeColor="text2"/>
          <w:sz w:val="22"/>
          <w:szCs w:val="22"/>
        </w:rPr>
        <w:t xml:space="preserve">imated $147,000 in year 1 and 433,000 in 2014/15 and then be indexed by rate-pegging on an ongoing </w:t>
      </w:r>
      <w:r w:rsidR="00C430F7">
        <w:rPr>
          <w:rFonts w:asciiTheme="minorHAnsi" w:hAnsiTheme="minorHAnsi"/>
          <w:color w:val="1F497D" w:themeColor="text2"/>
          <w:sz w:val="22"/>
          <w:szCs w:val="22"/>
        </w:rPr>
        <w:t>basis</w:t>
      </w:r>
      <w:r w:rsidRPr="003319EA">
        <w:rPr>
          <w:rFonts w:asciiTheme="minorHAnsi" w:hAnsiTheme="minorHAnsi"/>
          <w:color w:val="1F497D" w:themeColor="text2"/>
          <w:sz w:val="22"/>
          <w:szCs w:val="22"/>
        </w:rPr>
        <w:t>.</w:t>
      </w:r>
      <w:r w:rsidRPr="0018761A">
        <w:rPr>
          <w:rFonts w:asciiTheme="minorHAnsi" w:hAnsiTheme="minorHAnsi"/>
          <w:color w:val="1F497D" w:themeColor="text2"/>
          <w:sz w:val="22"/>
          <w:szCs w:val="22"/>
        </w:rPr>
        <w:t xml:space="preserve"> </w:t>
      </w:r>
    </w:p>
    <w:p w:rsidR="00B44027" w:rsidRDefault="00B44027" w:rsidP="00B44027">
      <w:pPr>
        <w:pStyle w:val="BodyText"/>
        <w:spacing w:before="0"/>
        <w:rPr>
          <w:rFonts w:asciiTheme="minorHAnsi" w:hAnsiTheme="minorHAnsi"/>
          <w:color w:val="1F497D" w:themeColor="text2"/>
          <w:sz w:val="22"/>
          <w:szCs w:val="22"/>
        </w:rPr>
      </w:pPr>
    </w:p>
    <w:p w:rsidR="00B44027" w:rsidRPr="005A7AC9" w:rsidRDefault="00B44027" w:rsidP="00B4402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In the preparation of IP&amp;R plans in the past Council identified the challenge of funding services. Council’s Asset Management Plans articulated the funding levels required to sustain assets long term. The Long Term Financial Plan has incorporated these forecasts to identify the future revenue </w:t>
      </w:r>
      <w:r w:rsidRPr="005A7AC9">
        <w:rPr>
          <w:rFonts w:asciiTheme="minorHAnsi" w:hAnsiTheme="minorHAnsi"/>
          <w:color w:val="1F497D" w:themeColor="text2"/>
          <w:sz w:val="22"/>
          <w:szCs w:val="22"/>
        </w:rPr>
        <w:t>stream requirements.</w:t>
      </w:r>
    </w:p>
    <w:p w:rsidR="00B44027" w:rsidRPr="005A7AC9" w:rsidRDefault="00B44027" w:rsidP="00B44027">
      <w:pPr>
        <w:pStyle w:val="BodyText"/>
        <w:spacing w:before="0"/>
        <w:rPr>
          <w:rFonts w:asciiTheme="minorHAnsi" w:hAnsiTheme="minorHAnsi"/>
          <w:color w:val="1F497D" w:themeColor="text2"/>
          <w:sz w:val="22"/>
          <w:szCs w:val="22"/>
        </w:rPr>
      </w:pPr>
    </w:p>
    <w:p w:rsidR="00B34AA8" w:rsidRPr="00317FF9" w:rsidRDefault="00B34AA8" w:rsidP="00B44027">
      <w:pPr>
        <w:pStyle w:val="BodyText"/>
        <w:spacing w:before="0"/>
        <w:rPr>
          <w:rFonts w:asciiTheme="minorHAnsi" w:hAnsiTheme="minorHAnsi"/>
          <w:color w:val="1F497D" w:themeColor="text2"/>
          <w:sz w:val="22"/>
          <w:szCs w:val="22"/>
        </w:rPr>
      </w:pPr>
      <w:r w:rsidRPr="005A7AC9">
        <w:rPr>
          <w:rFonts w:asciiTheme="minorHAnsi" w:hAnsiTheme="minorHAnsi"/>
          <w:color w:val="1F497D" w:themeColor="text2"/>
          <w:sz w:val="22"/>
          <w:szCs w:val="22"/>
        </w:rPr>
        <w:t>Council has reviewed its services</w:t>
      </w:r>
      <w:r w:rsidR="00096B6D" w:rsidRPr="005A7AC9">
        <w:rPr>
          <w:rFonts w:asciiTheme="minorHAnsi" w:hAnsiTheme="minorHAnsi"/>
          <w:color w:val="1F497D" w:themeColor="text2"/>
          <w:sz w:val="22"/>
          <w:szCs w:val="22"/>
        </w:rPr>
        <w:t xml:space="preserve"> and alternative revenue sources. Services for delivery </w:t>
      </w:r>
      <w:r w:rsidR="004C43D2" w:rsidRPr="005A7AC9">
        <w:rPr>
          <w:rFonts w:asciiTheme="minorHAnsi" w:hAnsiTheme="minorHAnsi"/>
          <w:color w:val="1F497D" w:themeColor="text2"/>
          <w:sz w:val="22"/>
          <w:szCs w:val="22"/>
        </w:rPr>
        <w:t xml:space="preserve">have been </w:t>
      </w:r>
      <w:r w:rsidR="004C43D2" w:rsidRPr="00317FF9">
        <w:rPr>
          <w:rFonts w:asciiTheme="minorHAnsi" w:hAnsiTheme="minorHAnsi"/>
          <w:color w:val="1F497D" w:themeColor="text2"/>
          <w:sz w:val="22"/>
          <w:szCs w:val="22"/>
        </w:rPr>
        <w:t xml:space="preserve">scaled back where feasible whilst remaining </w:t>
      </w:r>
      <w:r w:rsidR="00096B6D" w:rsidRPr="00317FF9">
        <w:rPr>
          <w:rFonts w:asciiTheme="minorHAnsi" w:hAnsiTheme="minorHAnsi"/>
          <w:color w:val="1F497D" w:themeColor="text2"/>
          <w:sz w:val="22"/>
          <w:szCs w:val="22"/>
        </w:rPr>
        <w:t>within community expectations</w:t>
      </w:r>
      <w:r w:rsidR="004C43D2" w:rsidRPr="00317FF9">
        <w:rPr>
          <w:rFonts w:asciiTheme="minorHAnsi" w:hAnsiTheme="minorHAnsi"/>
          <w:color w:val="1F497D" w:themeColor="text2"/>
          <w:sz w:val="22"/>
          <w:szCs w:val="22"/>
        </w:rPr>
        <w:t xml:space="preserve"> however the impacts of this are negligible.</w:t>
      </w:r>
      <w:r w:rsidR="00096B6D" w:rsidRPr="00317FF9">
        <w:rPr>
          <w:rFonts w:asciiTheme="minorHAnsi" w:hAnsiTheme="minorHAnsi"/>
          <w:color w:val="1F497D" w:themeColor="text2"/>
          <w:sz w:val="22"/>
          <w:szCs w:val="22"/>
        </w:rPr>
        <w:t xml:space="preserve"> </w:t>
      </w:r>
      <w:r w:rsidRPr="00317FF9">
        <w:rPr>
          <w:rFonts w:asciiTheme="minorHAnsi" w:hAnsiTheme="minorHAnsi"/>
          <w:color w:val="1F497D" w:themeColor="text2"/>
          <w:sz w:val="22"/>
          <w:szCs w:val="22"/>
        </w:rPr>
        <w:t>An analysis of alternative sources of revenue was also undertaken however as a small Council</w:t>
      </w:r>
      <w:r w:rsidR="00096B6D" w:rsidRPr="00317FF9">
        <w:rPr>
          <w:rFonts w:asciiTheme="minorHAnsi" w:hAnsiTheme="minorHAnsi"/>
          <w:color w:val="1F497D" w:themeColor="text2"/>
          <w:sz w:val="22"/>
          <w:szCs w:val="22"/>
        </w:rPr>
        <w:t xml:space="preserve"> with</w:t>
      </w:r>
      <w:r w:rsidRPr="00317FF9">
        <w:rPr>
          <w:rFonts w:asciiTheme="minorHAnsi" w:hAnsiTheme="minorHAnsi"/>
          <w:color w:val="1F497D" w:themeColor="text2"/>
          <w:sz w:val="22"/>
          <w:szCs w:val="22"/>
        </w:rPr>
        <w:t xml:space="preserve"> in excess of 80% of </w:t>
      </w:r>
      <w:r w:rsidR="00096B6D" w:rsidRPr="00317FF9">
        <w:rPr>
          <w:rFonts w:asciiTheme="minorHAnsi" w:hAnsiTheme="minorHAnsi"/>
          <w:color w:val="1F497D" w:themeColor="text2"/>
          <w:sz w:val="22"/>
          <w:szCs w:val="22"/>
        </w:rPr>
        <w:t xml:space="preserve">its </w:t>
      </w:r>
      <w:r w:rsidRPr="00317FF9">
        <w:rPr>
          <w:rFonts w:asciiTheme="minorHAnsi" w:hAnsiTheme="minorHAnsi"/>
          <w:color w:val="1F497D" w:themeColor="text2"/>
          <w:sz w:val="22"/>
          <w:szCs w:val="22"/>
        </w:rPr>
        <w:t xml:space="preserve">revenue </w:t>
      </w:r>
      <w:r w:rsidR="00096B6D" w:rsidRPr="00317FF9">
        <w:rPr>
          <w:rFonts w:asciiTheme="minorHAnsi" w:hAnsiTheme="minorHAnsi"/>
          <w:color w:val="1F497D" w:themeColor="text2"/>
          <w:sz w:val="22"/>
          <w:szCs w:val="22"/>
        </w:rPr>
        <w:t xml:space="preserve">sourced </w:t>
      </w:r>
      <w:r w:rsidRPr="00317FF9">
        <w:rPr>
          <w:rFonts w:asciiTheme="minorHAnsi" w:hAnsiTheme="minorHAnsi"/>
          <w:color w:val="1F497D" w:themeColor="text2"/>
          <w:sz w:val="22"/>
          <w:szCs w:val="22"/>
        </w:rPr>
        <w:t>from Rates and Grants</w:t>
      </w:r>
      <w:r w:rsidR="00096B6D" w:rsidRPr="00317FF9">
        <w:rPr>
          <w:rFonts w:asciiTheme="minorHAnsi" w:hAnsiTheme="minorHAnsi"/>
          <w:color w:val="1F497D" w:themeColor="text2"/>
          <w:sz w:val="22"/>
          <w:szCs w:val="22"/>
        </w:rPr>
        <w:t xml:space="preserve"> alternate </w:t>
      </w:r>
      <w:r w:rsidR="004C43D2" w:rsidRPr="00317FF9">
        <w:rPr>
          <w:rFonts w:asciiTheme="minorHAnsi" w:hAnsiTheme="minorHAnsi"/>
          <w:color w:val="1F497D" w:themeColor="text2"/>
          <w:sz w:val="22"/>
          <w:szCs w:val="22"/>
        </w:rPr>
        <w:t xml:space="preserve">improvements to </w:t>
      </w:r>
      <w:r w:rsidR="00096B6D" w:rsidRPr="00317FF9">
        <w:rPr>
          <w:rFonts w:asciiTheme="minorHAnsi" w:hAnsiTheme="minorHAnsi"/>
          <w:color w:val="1F497D" w:themeColor="text2"/>
          <w:sz w:val="22"/>
          <w:szCs w:val="22"/>
        </w:rPr>
        <w:t xml:space="preserve">revenue sources </w:t>
      </w:r>
      <w:r w:rsidR="004C43D2" w:rsidRPr="00317FF9">
        <w:rPr>
          <w:rFonts w:asciiTheme="minorHAnsi" w:hAnsiTheme="minorHAnsi"/>
          <w:color w:val="1F497D" w:themeColor="text2"/>
          <w:sz w:val="22"/>
          <w:szCs w:val="22"/>
        </w:rPr>
        <w:t>are of little significance in the big picture.</w:t>
      </w:r>
      <w:r w:rsidR="00096B6D" w:rsidRPr="00317FF9">
        <w:rPr>
          <w:rFonts w:asciiTheme="minorHAnsi" w:hAnsiTheme="minorHAnsi"/>
          <w:color w:val="1F497D" w:themeColor="text2"/>
          <w:sz w:val="22"/>
          <w:szCs w:val="22"/>
        </w:rPr>
        <w:t xml:space="preserve"> </w:t>
      </w:r>
    </w:p>
    <w:p w:rsidR="00B34AA8" w:rsidRPr="00317FF9" w:rsidRDefault="00B34AA8" w:rsidP="00B44027">
      <w:pPr>
        <w:pStyle w:val="BodyText"/>
        <w:spacing w:before="0"/>
        <w:rPr>
          <w:rFonts w:asciiTheme="minorHAnsi" w:hAnsiTheme="minorHAnsi"/>
          <w:color w:val="1F497D" w:themeColor="text2"/>
          <w:sz w:val="22"/>
          <w:szCs w:val="22"/>
        </w:rPr>
      </w:pPr>
    </w:p>
    <w:p w:rsidR="00B44027" w:rsidRPr="00317FF9" w:rsidRDefault="00B44027" w:rsidP="00B44027">
      <w:pPr>
        <w:pStyle w:val="BodyText"/>
        <w:spacing w:before="0"/>
        <w:rPr>
          <w:rFonts w:asciiTheme="minorHAnsi" w:hAnsiTheme="minorHAnsi"/>
          <w:color w:val="1F497D" w:themeColor="text2"/>
          <w:sz w:val="22"/>
          <w:szCs w:val="22"/>
        </w:rPr>
      </w:pPr>
      <w:r w:rsidRPr="00317FF9">
        <w:rPr>
          <w:rFonts w:asciiTheme="minorHAnsi" w:hAnsiTheme="minorHAnsi"/>
          <w:color w:val="1F497D" w:themeColor="text2"/>
          <w:sz w:val="22"/>
          <w:szCs w:val="22"/>
        </w:rPr>
        <w:t>Integrated Planning and Reporting documentation had been prepared for the 2013/14 year propos</w:t>
      </w:r>
      <w:r w:rsidR="00317FF9" w:rsidRPr="00317FF9">
        <w:rPr>
          <w:rFonts w:asciiTheme="minorHAnsi" w:hAnsiTheme="minorHAnsi"/>
          <w:color w:val="1F497D" w:themeColor="text2"/>
          <w:sz w:val="22"/>
          <w:szCs w:val="22"/>
        </w:rPr>
        <w:t xml:space="preserve">ing a permanent 6 year 15%p.a. </w:t>
      </w:r>
      <w:r w:rsidRPr="00317FF9">
        <w:rPr>
          <w:rFonts w:asciiTheme="minorHAnsi" w:hAnsiTheme="minorHAnsi"/>
          <w:color w:val="1F497D" w:themeColor="text2"/>
          <w:sz w:val="22"/>
          <w:szCs w:val="22"/>
        </w:rPr>
        <w:t>rate rise and on this basis sought to consult the community. It also included an alternate option of a four year 10%p.a. rate rise in addition to the option of the Reduced Services Model of an assumed 3</w:t>
      </w:r>
      <w:r w:rsidR="00317FF9" w:rsidRPr="00317FF9">
        <w:rPr>
          <w:rFonts w:asciiTheme="minorHAnsi" w:hAnsiTheme="minorHAnsi"/>
          <w:color w:val="1F497D" w:themeColor="text2"/>
          <w:sz w:val="22"/>
          <w:szCs w:val="22"/>
        </w:rPr>
        <w:t>.3</w:t>
      </w:r>
      <w:r w:rsidRPr="00317FF9">
        <w:rPr>
          <w:rFonts w:asciiTheme="minorHAnsi" w:hAnsiTheme="minorHAnsi"/>
          <w:color w:val="1F497D" w:themeColor="text2"/>
          <w:sz w:val="22"/>
          <w:szCs w:val="22"/>
        </w:rPr>
        <w:t xml:space="preserve">% (rate-peg).  </w:t>
      </w:r>
    </w:p>
    <w:p w:rsidR="00B44027" w:rsidRPr="00317FF9" w:rsidRDefault="00B44027" w:rsidP="00B44027">
      <w:pPr>
        <w:pStyle w:val="BodyText"/>
        <w:spacing w:before="0"/>
        <w:rPr>
          <w:rFonts w:asciiTheme="minorHAnsi" w:hAnsiTheme="minorHAnsi"/>
          <w:color w:val="1F497D" w:themeColor="text2"/>
          <w:sz w:val="22"/>
          <w:szCs w:val="22"/>
        </w:rPr>
      </w:pPr>
    </w:p>
    <w:p w:rsidR="00B44027" w:rsidRDefault="00B44027" w:rsidP="00B44027">
      <w:pPr>
        <w:pStyle w:val="BodyText"/>
        <w:spacing w:before="0"/>
        <w:rPr>
          <w:rFonts w:asciiTheme="minorHAnsi" w:hAnsiTheme="minorHAnsi"/>
          <w:color w:val="1F497D" w:themeColor="text2"/>
          <w:sz w:val="22"/>
          <w:szCs w:val="22"/>
        </w:rPr>
      </w:pPr>
      <w:r w:rsidRPr="00317FF9">
        <w:rPr>
          <w:rFonts w:asciiTheme="minorHAnsi" w:hAnsiTheme="minorHAnsi"/>
          <w:color w:val="1F497D" w:themeColor="text2"/>
          <w:sz w:val="22"/>
          <w:szCs w:val="22"/>
        </w:rPr>
        <w:t>Council undertook a survey on the future funding of services in September 2013. The survey outcomes</w:t>
      </w:r>
      <w:r w:rsidRPr="00DA1B0F">
        <w:rPr>
          <w:rFonts w:asciiTheme="minorHAnsi" w:hAnsiTheme="minorHAnsi"/>
          <w:color w:val="1F497D" w:themeColor="text2"/>
          <w:sz w:val="22"/>
          <w:szCs w:val="22"/>
        </w:rPr>
        <w:t xml:space="preserve"> as shown in the attachments reinforces that the community consider infrastructure as a priority and are seeking improved services.</w:t>
      </w:r>
    </w:p>
    <w:p w:rsidR="00B44027" w:rsidRDefault="00B44027" w:rsidP="00B44027">
      <w:pPr>
        <w:pStyle w:val="BodyText"/>
        <w:spacing w:before="0"/>
        <w:rPr>
          <w:rFonts w:asciiTheme="minorHAnsi" w:hAnsiTheme="minorHAnsi"/>
          <w:color w:val="1F497D" w:themeColor="text2"/>
          <w:sz w:val="22"/>
          <w:szCs w:val="22"/>
        </w:rPr>
      </w:pPr>
    </w:p>
    <w:p w:rsidR="00B44027" w:rsidRPr="00584155" w:rsidRDefault="00B44027" w:rsidP="00B44027">
      <w:pPr>
        <w:pStyle w:val="BodyText"/>
        <w:spacing w:before="0"/>
        <w:rPr>
          <w:rFonts w:asciiTheme="minorHAnsi" w:hAnsiTheme="minorHAnsi"/>
          <w:color w:val="1F497D" w:themeColor="text2"/>
          <w:sz w:val="22"/>
          <w:szCs w:val="22"/>
        </w:rPr>
      </w:pPr>
      <w:r w:rsidRPr="00584155">
        <w:rPr>
          <w:rFonts w:asciiTheme="minorHAnsi" w:hAnsiTheme="minorHAnsi"/>
          <w:color w:val="1F497D" w:themeColor="text2"/>
          <w:sz w:val="22"/>
          <w:szCs w:val="22"/>
        </w:rPr>
        <w:t>The community meetings conducted reinforced the community expectations on service levels and preparedness to pay</w:t>
      </w:r>
      <w:r w:rsidR="00D02DB3" w:rsidRPr="00584155">
        <w:rPr>
          <w:rFonts w:asciiTheme="minorHAnsi" w:hAnsiTheme="minorHAnsi"/>
          <w:color w:val="1F497D" w:themeColor="text2"/>
          <w:sz w:val="22"/>
          <w:szCs w:val="22"/>
        </w:rPr>
        <w:t xml:space="preserve">, with the exception of the </w:t>
      </w:r>
      <w:r w:rsidR="00584155" w:rsidRPr="00584155">
        <w:rPr>
          <w:rFonts w:asciiTheme="minorHAnsi" w:hAnsiTheme="minorHAnsi"/>
          <w:color w:val="1F497D" w:themeColor="text2"/>
          <w:sz w:val="22"/>
          <w:szCs w:val="22"/>
        </w:rPr>
        <w:t xml:space="preserve">NSW </w:t>
      </w:r>
      <w:r w:rsidR="00CE6BD6">
        <w:rPr>
          <w:rFonts w:asciiTheme="minorHAnsi" w:hAnsiTheme="minorHAnsi"/>
          <w:color w:val="1F497D" w:themeColor="text2"/>
          <w:sz w:val="22"/>
          <w:szCs w:val="22"/>
        </w:rPr>
        <w:t>F</w:t>
      </w:r>
      <w:r w:rsidR="00D02DB3" w:rsidRPr="00584155">
        <w:rPr>
          <w:rFonts w:asciiTheme="minorHAnsi" w:hAnsiTheme="minorHAnsi"/>
          <w:color w:val="1F497D" w:themeColor="text2"/>
          <w:sz w:val="22"/>
          <w:szCs w:val="22"/>
        </w:rPr>
        <w:t>armers lobby</w:t>
      </w:r>
      <w:r w:rsidRPr="00584155">
        <w:rPr>
          <w:rFonts w:asciiTheme="minorHAnsi" w:hAnsiTheme="minorHAnsi"/>
          <w:color w:val="1F497D" w:themeColor="text2"/>
          <w:sz w:val="22"/>
          <w:szCs w:val="22"/>
        </w:rPr>
        <w:t xml:space="preserve">. Council then sought to amend its Asset Management Plan expenditure programs to adjust services. </w:t>
      </w:r>
    </w:p>
    <w:p w:rsidR="00B44027" w:rsidRPr="00584155" w:rsidRDefault="00B44027" w:rsidP="00B44027">
      <w:pPr>
        <w:pStyle w:val="BodyText"/>
        <w:spacing w:before="0"/>
        <w:rPr>
          <w:rFonts w:asciiTheme="minorHAnsi" w:hAnsiTheme="minorHAnsi"/>
          <w:color w:val="1F497D" w:themeColor="text2"/>
          <w:sz w:val="22"/>
          <w:szCs w:val="22"/>
        </w:rPr>
      </w:pPr>
    </w:p>
    <w:p w:rsidR="00B44027" w:rsidRPr="00584155" w:rsidRDefault="00B44027" w:rsidP="00B44027">
      <w:pPr>
        <w:pStyle w:val="BodyText"/>
        <w:spacing w:before="0"/>
        <w:rPr>
          <w:rFonts w:asciiTheme="minorHAnsi" w:hAnsiTheme="minorHAnsi"/>
          <w:color w:val="1F497D" w:themeColor="text2"/>
          <w:sz w:val="22"/>
          <w:szCs w:val="22"/>
        </w:rPr>
      </w:pPr>
      <w:r w:rsidRPr="00584155">
        <w:rPr>
          <w:rFonts w:asciiTheme="minorHAnsi" w:hAnsiTheme="minorHAnsi"/>
          <w:color w:val="1F497D" w:themeColor="text2"/>
          <w:sz w:val="22"/>
          <w:szCs w:val="22"/>
        </w:rPr>
        <w:t>In light of the community feedback and significance of rate increases proposed, Council sought to reconsider the way forward. Changes were then effected in Council’s Long Term Financial Plan. The two scenarios shown in the LTFP are:</w:t>
      </w:r>
    </w:p>
    <w:p w:rsidR="00B44027" w:rsidRPr="00584155" w:rsidRDefault="00B44027" w:rsidP="00B44027">
      <w:pPr>
        <w:pStyle w:val="BodyText"/>
        <w:numPr>
          <w:ilvl w:val="0"/>
          <w:numId w:val="34"/>
        </w:numPr>
        <w:spacing w:before="0"/>
        <w:rPr>
          <w:rFonts w:asciiTheme="minorHAnsi" w:hAnsiTheme="minorHAnsi"/>
          <w:color w:val="1F497D" w:themeColor="text2"/>
          <w:sz w:val="22"/>
          <w:szCs w:val="22"/>
        </w:rPr>
      </w:pPr>
      <w:r w:rsidRPr="00584155">
        <w:rPr>
          <w:rFonts w:asciiTheme="minorHAnsi" w:hAnsiTheme="minorHAnsi"/>
          <w:color w:val="1F497D" w:themeColor="text2"/>
          <w:sz w:val="22"/>
          <w:szCs w:val="22"/>
        </w:rPr>
        <w:t>Reduced Services Model – Assumed rate peg of 3%p.a.</w:t>
      </w:r>
    </w:p>
    <w:p w:rsidR="00B44027" w:rsidRDefault="00B44027" w:rsidP="00B44027">
      <w:pPr>
        <w:pStyle w:val="BodyText"/>
        <w:numPr>
          <w:ilvl w:val="0"/>
          <w:numId w:val="34"/>
        </w:numPr>
        <w:spacing w:before="0"/>
        <w:rPr>
          <w:rFonts w:asciiTheme="minorHAnsi" w:hAnsiTheme="minorHAnsi"/>
          <w:color w:val="1F497D" w:themeColor="text2"/>
          <w:sz w:val="22"/>
          <w:szCs w:val="22"/>
        </w:rPr>
      </w:pPr>
      <w:r w:rsidRPr="00584155">
        <w:rPr>
          <w:rFonts w:asciiTheme="minorHAnsi" w:hAnsiTheme="minorHAnsi"/>
          <w:color w:val="1F497D" w:themeColor="text2"/>
          <w:sz w:val="22"/>
          <w:szCs w:val="22"/>
        </w:rPr>
        <w:t>Community Informed Services</w:t>
      </w:r>
      <w:r>
        <w:rPr>
          <w:rFonts w:asciiTheme="minorHAnsi" w:hAnsiTheme="minorHAnsi"/>
          <w:color w:val="1F497D" w:themeColor="text2"/>
          <w:sz w:val="22"/>
          <w:szCs w:val="22"/>
        </w:rPr>
        <w:t xml:space="preserve"> Model – Assumed at a 2 year 6%p.a. permanent increase, excluding application to existing Special Rate Variations. (This equates in real terms to 4.69% in year 1 and 5.11% in year 2.)</w:t>
      </w:r>
    </w:p>
    <w:p w:rsidR="00B44027" w:rsidRDefault="00B44027" w:rsidP="00B44027">
      <w:pPr>
        <w:pStyle w:val="BodyText"/>
        <w:spacing w:before="0"/>
        <w:rPr>
          <w:rFonts w:asciiTheme="minorHAnsi" w:hAnsiTheme="minorHAnsi"/>
          <w:color w:val="1F497D" w:themeColor="text2"/>
          <w:sz w:val="22"/>
          <w:szCs w:val="22"/>
        </w:rPr>
      </w:pPr>
    </w:p>
    <w:p w:rsidR="00B44027" w:rsidRDefault="00B44027" w:rsidP="00B44027">
      <w:pPr>
        <w:pStyle w:val="BodyText"/>
        <w:spacing w:before="0"/>
        <w:rPr>
          <w:rFonts w:asciiTheme="minorHAnsi" w:hAnsiTheme="minorHAnsi"/>
          <w:color w:val="1F497D" w:themeColor="text2"/>
          <w:sz w:val="22"/>
          <w:szCs w:val="22"/>
        </w:rPr>
      </w:pPr>
      <w:r w:rsidRPr="00584155">
        <w:rPr>
          <w:rFonts w:asciiTheme="minorHAnsi" w:hAnsiTheme="minorHAnsi"/>
          <w:color w:val="1F497D" w:themeColor="text2"/>
          <w:sz w:val="22"/>
          <w:szCs w:val="22"/>
        </w:rPr>
        <w:t>Councils’ need for funding arises as part of a medium to long term strategy to financial sustainability to deliver community assets and services in the long term. Similar to many NSW Councils we have a significant asset backlog and they will continue to deteriorate with</w:t>
      </w:r>
      <w:r w:rsidR="00584155">
        <w:rPr>
          <w:rFonts w:asciiTheme="minorHAnsi" w:hAnsiTheme="minorHAnsi"/>
          <w:color w:val="1F497D" w:themeColor="text2"/>
          <w:sz w:val="22"/>
          <w:szCs w:val="22"/>
        </w:rPr>
        <w:t>out</w:t>
      </w:r>
      <w:r w:rsidRPr="00584155">
        <w:rPr>
          <w:rFonts w:asciiTheme="minorHAnsi" w:hAnsiTheme="minorHAnsi"/>
          <w:color w:val="1F497D" w:themeColor="text2"/>
          <w:sz w:val="22"/>
          <w:szCs w:val="22"/>
        </w:rPr>
        <w:t xml:space="preserve"> additional funding. Undertaking</w:t>
      </w:r>
      <w:r>
        <w:rPr>
          <w:rFonts w:asciiTheme="minorHAnsi" w:hAnsiTheme="minorHAnsi"/>
          <w:color w:val="1F497D" w:themeColor="text2"/>
          <w:sz w:val="22"/>
          <w:szCs w:val="22"/>
        </w:rPr>
        <w:t xml:space="preserve"> a Special Rate Variation is a priority in Council’s C</w:t>
      </w:r>
      <w:r w:rsidR="000B2BE0">
        <w:rPr>
          <w:rFonts w:asciiTheme="minorHAnsi" w:hAnsiTheme="minorHAnsi"/>
          <w:color w:val="1F497D" w:themeColor="text2"/>
          <w:sz w:val="22"/>
          <w:szCs w:val="22"/>
        </w:rPr>
        <w:t>ommunity Strategic Plan</w:t>
      </w:r>
      <w:r>
        <w:rPr>
          <w:rFonts w:asciiTheme="minorHAnsi" w:hAnsiTheme="minorHAnsi"/>
          <w:color w:val="1F497D" w:themeColor="text2"/>
          <w:sz w:val="22"/>
          <w:szCs w:val="22"/>
        </w:rPr>
        <w:t>, Delivery Program and L</w:t>
      </w:r>
      <w:r w:rsidR="000B2BE0">
        <w:rPr>
          <w:rFonts w:asciiTheme="minorHAnsi" w:hAnsiTheme="minorHAnsi"/>
          <w:color w:val="1F497D" w:themeColor="text2"/>
          <w:sz w:val="22"/>
          <w:szCs w:val="22"/>
        </w:rPr>
        <w:t xml:space="preserve">ong Term </w:t>
      </w:r>
      <w:r>
        <w:rPr>
          <w:rFonts w:asciiTheme="minorHAnsi" w:hAnsiTheme="minorHAnsi"/>
          <w:color w:val="1F497D" w:themeColor="text2"/>
          <w:sz w:val="22"/>
          <w:szCs w:val="22"/>
        </w:rPr>
        <w:t>F</w:t>
      </w:r>
      <w:r w:rsidR="000B2BE0">
        <w:rPr>
          <w:rFonts w:asciiTheme="minorHAnsi" w:hAnsiTheme="minorHAnsi"/>
          <w:color w:val="1F497D" w:themeColor="text2"/>
          <w:sz w:val="22"/>
          <w:szCs w:val="22"/>
        </w:rPr>
        <w:t xml:space="preserve">inancial </w:t>
      </w:r>
      <w:r>
        <w:rPr>
          <w:rFonts w:asciiTheme="minorHAnsi" w:hAnsiTheme="minorHAnsi"/>
          <w:color w:val="1F497D" w:themeColor="text2"/>
          <w:sz w:val="22"/>
          <w:szCs w:val="22"/>
        </w:rPr>
        <w:t>P</w:t>
      </w:r>
      <w:r w:rsidR="000B2BE0">
        <w:rPr>
          <w:rFonts w:asciiTheme="minorHAnsi" w:hAnsiTheme="minorHAnsi"/>
          <w:color w:val="1F497D" w:themeColor="text2"/>
          <w:sz w:val="22"/>
          <w:szCs w:val="22"/>
        </w:rPr>
        <w:t>lan</w:t>
      </w:r>
      <w:r>
        <w:rPr>
          <w:rFonts w:asciiTheme="minorHAnsi" w:hAnsiTheme="minorHAnsi"/>
          <w:color w:val="1F497D" w:themeColor="text2"/>
          <w:sz w:val="22"/>
          <w:szCs w:val="22"/>
        </w:rPr>
        <w:t>. Council needs the funding to maintain assets as part of its service provision at acceptable levels across a broad range of services.</w:t>
      </w:r>
      <w:r w:rsidR="00584155">
        <w:rPr>
          <w:rFonts w:asciiTheme="minorHAnsi" w:hAnsiTheme="minorHAnsi"/>
          <w:color w:val="1F497D" w:themeColor="text2"/>
          <w:sz w:val="22"/>
          <w:szCs w:val="22"/>
        </w:rPr>
        <w:t xml:space="preserve"> To this end </w:t>
      </w:r>
      <w:r w:rsidR="008F56DE">
        <w:rPr>
          <w:rFonts w:asciiTheme="minorHAnsi" w:hAnsiTheme="minorHAnsi"/>
          <w:color w:val="1F497D" w:themeColor="text2"/>
          <w:sz w:val="22"/>
          <w:szCs w:val="22"/>
        </w:rPr>
        <w:t xml:space="preserve">further assumptions have been made in the Long Term Financial Plan </w:t>
      </w:r>
      <w:r w:rsidR="00CE6BD6">
        <w:rPr>
          <w:rFonts w:asciiTheme="minorHAnsi" w:hAnsiTheme="minorHAnsi"/>
          <w:color w:val="1F497D" w:themeColor="text2"/>
          <w:sz w:val="22"/>
          <w:szCs w:val="22"/>
        </w:rPr>
        <w:t xml:space="preserve">for 2 four year special rate variations </w:t>
      </w:r>
      <w:r w:rsidR="008F56DE">
        <w:rPr>
          <w:rFonts w:asciiTheme="minorHAnsi" w:hAnsiTheme="minorHAnsi"/>
          <w:color w:val="1F497D" w:themeColor="text2"/>
          <w:sz w:val="22"/>
          <w:szCs w:val="22"/>
        </w:rPr>
        <w:lastRenderedPageBreak/>
        <w:t>from 2016/17 onwards</w:t>
      </w:r>
      <w:r w:rsidR="00CE6BD6">
        <w:rPr>
          <w:rFonts w:asciiTheme="minorHAnsi" w:hAnsiTheme="minorHAnsi"/>
          <w:color w:val="1F497D" w:themeColor="text2"/>
          <w:sz w:val="22"/>
          <w:szCs w:val="22"/>
        </w:rPr>
        <w:t xml:space="preserve"> of 6%p.a. Farmland and 10% other categories, excluding the Mining special rate variation.</w:t>
      </w:r>
    </w:p>
    <w:p w:rsidR="00B44027" w:rsidRDefault="00B44027" w:rsidP="00B44027">
      <w:pPr>
        <w:pStyle w:val="BodyText"/>
        <w:spacing w:before="0"/>
        <w:rPr>
          <w:rFonts w:asciiTheme="minorHAnsi" w:hAnsiTheme="minorHAnsi"/>
          <w:color w:val="1F497D" w:themeColor="text2"/>
          <w:sz w:val="22"/>
          <w:szCs w:val="22"/>
        </w:rPr>
      </w:pPr>
    </w:p>
    <w:p w:rsidR="00B44027" w:rsidRDefault="00B44027" w:rsidP="00B4402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Without this increased funding and that proposed in the L</w:t>
      </w:r>
      <w:r w:rsidR="000B2BE0">
        <w:rPr>
          <w:rFonts w:asciiTheme="minorHAnsi" w:hAnsiTheme="minorHAnsi"/>
          <w:color w:val="1F497D" w:themeColor="text2"/>
          <w:sz w:val="22"/>
          <w:szCs w:val="22"/>
        </w:rPr>
        <w:t>ong Term Financial Plan</w:t>
      </w:r>
      <w:r>
        <w:rPr>
          <w:rFonts w:asciiTheme="minorHAnsi" w:hAnsiTheme="minorHAnsi"/>
          <w:color w:val="1F497D" w:themeColor="text2"/>
          <w:sz w:val="22"/>
          <w:szCs w:val="22"/>
        </w:rPr>
        <w:t xml:space="preserve"> a decrease in service levels would result in the medium to long term.  </w:t>
      </w:r>
    </w:p>
    <w:p w:rsidR="00B44027" w:rsidRDefault="00B44027" w:rsidP="00B44027">
      <w:pPr>
        <w:pStyle w:val="BodyText"/>
        <w:spacing w:before="0"/>
        <w:rPr>
          <w:rFonts w:asciiTheme="minorHAnsi" w:hAnsiTheme="minorHAnsi"/>
          <w:color w:val="1F497D" w:themeColor="text2"/>
          <w:sz w:val="22"/>
          <w:szCs w:val="22"/>
        </w:rPr>
      </w:pPr>
    </w:p>
    <w:p w:rsidR="00096B6D" w:rsidRPr="00CE6BD6" w:rsidRDefault="00710EF1" w:rsidP="00B44027">
      <w:pPr>
        <w:pStyle w:val="BodyText"/>
        <w:spacing w:before="0"/>
        <w:rPr>
          <w:rFonts w:asciiTheme="minorHAnsi" w:hAnsiTheme="minorHAnsi"/>
          <w:color w:val="1F497D" w:themeColor="text2"/>
          <w:sz w:val="22"/>
          <w:szCs w:val="22"/>
        </w:rPr>
      </w:pPr>
      <w:r w:rsidRPr="00CE6BD6">
        <w:rPr>
          <w:rFonts w:asciiTheme="minorHAnsi" w:hAnsiTheme="minorHAnsi"/>
          <w:color w:val="1F497D" w:themeColor="text2"/>
          <w:sz w:val="22"/>
          <w:szCs w:val="22"/>
        </w:rPr>
        <w:t xml:space="preserve">A number of financial assessments have been undertaken by </w:t>
      </w:r>
      <w:proofErr w:type="spellStart"/>
      <w:r w:rsidR="00096B6D" w:rsidRPr="00CE6BD6">
        <w:rPr>
          <w:rFonts w:asciiTheme="minorHAnsi" w:hAnsiTheme="minorHAnsi"/>
          <w:color w:val="1F497D" w:themeColor="text2"/>
          <w:sz w:val="22"/>
          <w:szCs w:val="22"/>
        </w:rPr>
        <w:t>TCorp</w:t>
      </w:r>
      <w:proofErr w:type="spellEnd"/>
      <w:r w:rsidR="00096B6D" w:rsidRPr="00CE6BD6">
        <w:rPr>
          <w:rFonts w:asciiTheme="minorHAnsi" w:hAnsiTheme="minorHAnsi"/>
          <w:color w:val="1F497D" w:themeColor="text2"/>
          <w:sz w:val="22"/>
          <w:szCs w:val="22"/>
        </w:rPr>
        <w:t xml:space="preserve"> </w:t>
      </w:r>
      <w:r w:rsidRPr="00CE6BD6">
        <w:rPr>
          <w:rFonts w:asciiTheme="minorHAnsi" w:hAnsiTheme="minorHAnsi"/>
          <w:color w:val="1F497D" w:themeColor="text2"/>
          <w:sz w:val="22"/>
          <w:szCs w:val="22"/>
        </w:rPr>
        <w:t>and are outlined in section 3.3 below. Again these assessments have reinforced Council’s need to address its long term financial sustainability.</w:t>
      </w:r>
    </w:p>
    <w:p w:rsidR="00096B6D" w:rsidRPr="00CE6BD6" w:rsidRDefault="00096B6D" w:rsidP="00B44027">
      <w:pPr>
        <w:pStyle w:val="BodyText"/>
        <w:spacing w:before="0"/>
        <w:rPr>
          <w:rFonts w:asciiTheme="minorHAnsi" w:hAnsiTheme="minorHAnsi"/>
          <w:color w:val="1F497D" w:themeColor="text2"/>
          <w:sz w:val="22"/>
          <w:szCs w:val="22"/>
        </w:rPr>
      </w:pPr>
    </w:p>
    <w:p w:rsidR="003D0338" w:rsidRPr="00CE6BD6" w:rsidRDefault="003D0338" w:rsidP="003D0338">
      <w:pPr>
        <w:autoSpaceDE w:val="0"/>
        <w:autoSpaceDN w:val="0"/>
        <w:adjustRightInd w:val="0"/>
        <w:rPr>
          <w:rFonts w:asciiTheme="minorHAnsi" w:eastAsiaTheme="minorHAnsi" w:hAnsiTheme="minorHAnsi" w:cs="Arial"/>
          <w:color w:val="1F497D" w:themeColor="text2"/>
          <w:sz w:val="22"/>
          <w:szCs w:val="22"/>
          <w:lang w:eastAsia="en-US"/>
        </w:rPr>
      </w:pPr>
      <w:r w:rsidRPr="00CE6BD6">
        <w:rPr>
          <w:rFonts w:asciiTheme="minorHAnsi" w:eastAsiaTheme="minorHAnsi" w:hAnsiTheme="minorHAnsi" w:cs="Arial"/>
          <w:color w:val="1F497D" w:themeColor="text2"/>
          <w:sz w:val="22"/>
          <w:szCs w:val="22"/>
          <w:lang w:eastAsia="en-US"/>
        </w:rPr>
        <w:t>The need for the Special Rate Variation is also captured in Integrated Planning &amp; Reporting documentation:</w:t>
      </w:r>
    </w:p>
    <w:p w:rsidR="003D0338" w:rsidRPr="00CE6BD6" w:rsidRDefault="003D0338" w:rsidP="003D0338">
      <w:pPr>
        <w:autoSpaceDE w:val="0"/>
        <w:autoSpaceDN w:val="0"/>
        <w:adjustRightInd w:val="0"/>
        <w:rPr>
          <w:rFonts w:asciiTheme="minorHAnsi" w:eastAsiaTheme="minorHAnsi" w:hAnsiTheme="minorHAnsi" w:cs="Arial"/>
          <w:color w:val="1F497D" w:themeColor="text2"/>
          <w:sz w:val="22"/>
          <w:szCs w:val="22"/>
          <w:lang w:eastAsia="en-US"/>
        </w:rPr>
      </w:pPr>
    </w:p>
    <w:p w:rsidR="003D0338" w:rsidRPr="00CE6BD6" w:rsidRDefault="003D0338" w:rsidP="003D0338">
      <w:pPr>
        <w:autoSpaceDE w:val="0"/>
        <w:autoSpaceDN w:val="0"/>
        <w:adjustRightInd w:val="0"/>
        <w:rPr>
          <w:rFonts w:asciiTheme="minorHAnsi" w:eastAsiaTheme="minorHAnsi" w:hAnsiTheme="minorHAnsi" w:cs="Arial"/>
          <w:i/>
          <w:color w:val="1F497D" w:themeColor="text2"/>
          <w:sz w:val="22"/>
          <w:szCs w:val="22"/>
          <w:lang w:eastAsia="en-US"/>
        </w:rPr>
      </w:pPr>
      <w:r w:rsidRPr="00CE6BD6">
        <w:rPr>
          <w:rFonts w:asciiTheme="minorHAnsi" w:eastAsiaTheme="minorHAnsi" w:hAnsiTheme="minorHAnsi" w:cs="Arial"/>
          <w:i/>
          <w:color w:val="1F497D" w:themeColor="text2"/>
          <w:sz w:val="22"/>
          <w:szCs w:val="22"/>
          <w:lang w:eastAsia="en-US"/>
        </w:rPr>
        <w:t>Community Strategic Plan – Blayney 2025:</w:t>
      </w:r>
    </w:p>
    <w:p w:rsidR="00B168EC" w:rsidRPr="00CE6BD6" w:rsidRDefault="00B168EC" w:rsidP="003D0338">
      <w:pPr>
        <w:autoSpaceDE w:val="0"/>
        <w:autoSpaceDN w:val="0"/>
        <w:adjustRightInd w:val="0"/>
        <w:rPr>
          <w:rFonts w:asciiTheme="minorHAnsi" w:eastAsiaTheme="minorHAnsi" w:hAnsiTheme="minorHAnsi" w:cs="Arial,Bold"/>
          <w:b/>
          <w:bCs/>
          <w:color w:val="1F497D" w:themeColor="text2"/>
          <w:sz w:val="22"/>
          <w:szCs w:val="22"/>
          <w:lang w:eastAsia="en-US"/>
        </w:rPr>
      </w:pPr>
    </w:p>
    <w:p w:rsidR="00B168EC" w:rsidRPr="00CE6BD6" w:rsidRDefault="00B168EC" w:rsidP="003D0338">
      <w:pPr>
        <w:autoSpaceDE w:val="0"/>
        <w:autoSpaceDN w:val="0"/>
        <w:adjustRightInd w:val="0"/>
        <w:rPr>
          <w:rFonts w:asciiTheme="minorHAnsi" w:eastAsiaTheme="minorHAnsi" w:hAnsiTheme="minorHAnsi" w:cs="Arial,Bold"/>
          <w:b/>
          <w:bCs/>
          <w:color w:val="1F497D" w:themeColor="text2"/>
          <w:sz w:val="22"/>
          <w:szCs w:val="22"/>
          <w:lang w:eastAsia="en-US"/>
        </w:rPr>
      </w:pPr>
      <w:r w:rsidRPr="00CE6BD6">
        <w:rPr>
          <w:rFonts w:asciiTheme="minorHAnsi" w:hAnsiTheme="minorHAnsi" w:cs="MyriadPro-Semibold"/>
          <w:b/>
          <w:bCs/>
          <w:color w:val="1F497D" w:themeColor="text2"/>
          <w:sz w:val="22"/>
          <w:szCs w:val="22"/>
        </w:rPr>
        <w:t xml:space="preserve">Future Direction 6: </w:t>
      </w:r>
      <w:r w:rsidR="00E275F1" w:rsidRPr="00CE6BD6">
        <w:rPr>
          <w:rFonts w:asciiTheme="minorHAnsi" w:hAnsiTheme="minorHAnsi" w:cs="MyriadPro-Semibold"/>
          <w:b/>
          <w:bCs/>
          <w:color w:val="1F497D" w:themeColor="text2"/>
          <w:sz w:val="22"/>
          <w:szCs w:val="22"/>
        </w:rPr>
        <w:t>Leadership</w:t>
      </w:r>
    </w:p>
    <w:p w:rsidR="003D0338" w:rsidRPr="00CE6BD6" w:rsidRDefault="003D0338" w:rsidP="003D0338">
      <w:pPr>
        <w:autoSpaceDE w:val="0"/>
        <w:autoSpaceDN w:val="0"/>
        <w:adjustRightInd w:val="0"/>
        <w:rPr>
          <w:rFonts w:asciiTheme="minorHAnsi" w:eastAsiaTheme="minorHAnsi" w:hAnsiTheme="minorHAnsi" w:cs="Arial"/>
          <w:color w:val="1F497D" w:themeColor="text2"/>
          <w:sz w:val="22"/>
          <w:szCs w:val="22"/>
          <w:lang w:eastAsia="en-US"/>
        </w:rPr>
      </w:pPr>
      <w:r w:rsidRPr="00CE6BD6">
        <w:rPr>
          <w:rFonts w:asciiTheme="minorHAnsi" w:eastAsiaTheme="minorHAnsi" w:hAnsiTheme="minorHAnsi" w:cs="Arial,Bold"/>
          <w:b/>
          <w:bCs/>
          <w:color w:val="1F497D" w:themeColor="text2"/>
          <w:sz w:val="22"/>
          <w:szCs w:val="22"/>
          <w:lang w:eastAsia="en-US"/>
        </w:rPr>
        <w:t xml:space="preserve">STRATEGIC OUTCOME </w:t>
      </w:r>
      <w:r w:rsidR="00B168EC" w:rsidRPr="00CE6BD6">
        <w:rPr>
          <w:rFonts w:asciiTheme="minorHAnsi" w:eastAsiaTheme="minorHAnsi" w:hAnsiTheme="minorHAnsi" w:cs="Arial,Bold"/>
          <w:b/>
          <w:bCs/>
          <w:color w:val="1F497D" w:themeColor="text2"/>
          <w:sz w:val="22"/>
          <w:szCs w:val="22"/>
          <w:lang w:eastAsia="en-US"/>
        </w:rPr>
        <w:t>CSP</w:t>
      </w:r>
      <w:r w:rsidRPr="00CE6BD6">
        <w:rPr>
          <w:rFonts w:asciiTheme="minorHAnsi" w:eastAsiaTheme="minorHAnsi" w:hAnsiTheme="minorHAnsi" w:cs="Arial,Bold"/>
          <w:b/>
          <w:bCs/>
          <w:color w:val="1F497D" w:themeColor="text2"/>
          <w:sz w:val="22"/>
          <w:szCs w:val="22"/>
          <w:lang w:eastAsia="en-US"/>
        </w:rPr>
        <w:t>6.3: A WELL RUN COUNCIL ORGANISATION</w:t>
      </w:r>
    </w:p>
    <w:p w:rsidR="003D0338" w:rsidRPr="00CE6BD6" w:rsidRDefault="003D0338" w:rsidP="003D0338">
      <w:pPr>
        <w:autoSpaceDE w:val="0"/>
        <w:autoSpaceDN w:val="0"/>
        <w:adjustRightInd w:val="0"/>
        <w:rPr>
          <w:rFonts w:asciiTheme="minorHAnsi" w:eastAsiaTheme="minorHAnsi" w:hAnsiTheme="minorHAnsi" w:cs="Arial"/>
          <w:color w:val="1F497D" w:themeColor="text2"/>
          <w:sz w:val="22"/>
          <w:szCs w:val="22"/>
          <w:lang w:eastAsia="en-US"/>
        </w:rPr>
      </w:pPr>
    </w:p>
    <w:p w:rsidR="003D0338" w:rsidRPr="00CE6BD6" w:rsidRDefault="003D0338" w:rsidP="003D0338">
      <w:pPr>
        <w:autoSpaceDE w:val="0"/>
        <w:autoSpaceDN w:val="0"/>
        <w:adjustRightInd w:val="0"/>
        <w:rPr>
          <w:rFonts w:asciiTheme="minorHAnsi" w:eastAsiaTheme="minorHAnsi" w:hAnsiTheme="minorHAnsi" w:cs="Arial"/>
          <w:i/>
          <w:color w:val="1F497D" w:themeColor="text2"/>
          <w:sz w:val="22"/>
          <w:szCs w:val="22"/>
          <w:lang w:eastAsia="en-US"/>
        </w:rPr>
      </w:pPr>
      <w:r w:rsidRPr="00CE6BD6">
        <w:rPr>
          <w:rFonts w:asciiTheme="minorHAnsi" w:eastAsiaTheme="minorHAnsi" w:hAnsiTheme="minorHAnsi" w:cs="Arial"/>
          <w:i/>
          <w:color w:val="1F497D" w:themeColor="text2"/>
          <w:sz w:val="22"/>
          <w:szCs w:val="22"/>
          <w:lang w:eastAsia="en-US"/>
        </w:rPr>
        <w:t xml:space="preserve">Delivery Program 2014/15 to 2017/18: </w:t>
      </w:r>
    </w:p>
    <w:p w:rsidR="003D0338" w:rsidRPr="00CE6BD6" w:rsidRDefault="003D0338" w:rsidP="003D0338">
      <w:pPr>
        <w:autoSpaceDE w:val="0"/>
        <w:autoSpaceDN w:val="0"/>
        <w:adjustRightInd w:val="0"/>
        <w:rPr>
          <w:rFonts w:asciiTheme="minorHAnsi" w:eastAsiaTheme="minorHAnsi" w:hAnsiTheme="minorHAnsi" w:cs="Arial"/>
          <w:b/>
          <w:color w:val="1F497D" w:themeColor="text2"/>
          <w:sz w:val="22"/>
          <w:szCs w:val="22"/>
          <w:lang w:eastAsia="en-US"/>
        </w:rPr>
      </w:pPr>
      <w:r w:rsidRPr="00CE6BD6">
        <w:rPr>
          <w:rFonts w:asciiTheme="minorHAnsi" w:eastAsiaTheme="minorHAnsi" w:hAnsiTheme="minorHAnsi" w:cs="Arial"/>
          <w:b/>
          <w:color w:val="1F497D" w:themeColor="text2"/>
          <w:sz w:val="22"/>
          <w:szCs w:val="22"/>
          <w:lang w:eastAsia="en-US"/>
        </w:rPr>
        <w:t xml:space="preserve">DP6.3.1: Maintain a stable and secure financial structure for Council. </w:t>
      </w:r>
    </w:p>
    <w:p w:rsidR="00B168EC" w:rsidRPr="00CE6BD6" w:rsidRDefault="00B168EC" w:rsidP="003D0338">
      <w:pPr>
        <w:autoSpaceDE w:val="0"/>
        <w:autoSpaceDN w:val="0"/>
        <w:adjustRightInd w:val="0"/>
        <w:rPr>
          <w:rFonts w:asciiTheme="minorHAnsi" w:eastAsiaTheme="minorHAnsi" w:hAnsiTheme="minorHAnsi" w:cs="Arial"/>
          <w:b/>
          <w:color w:val="1F497D" w:themeColor="text2"/>
          <w:sz w:val="22"/>
          <w:szCs w:val="22"/>
          <w:lang w:eastAsia="en-US"/>
        </w:rPr>
      </w:pPr>
    </w:p>
    <w:p w:rsidR="00B168EC" w:rsidRPr="00CE6BD6" w:rsidRDefault="00B168EC" w:rsidP="00B168EC">
      <w:pPr>
        <w:autoSpaceDE w:val="0"/>
        <w:autoSpaceDN w:val="0"/>
        <w:adjustRightInd w:val="0"/>
        <w:rPr>
          <w:rFonts w:asciiTheme="minorHAnsi" w:eastAsiaTheme="minorHAnsi" w:hAnsiTheme="minorHAnsi" w:cs="Arial"/>
          <w:i/>
          <w:color w:val="1F497D" w:themeColor="text2"/>
          <w:sz w:val="22"/>
          <w:szCs w:val="22"/>
          <w:lang w:eastAsia="en-US"/>
        </w:rPr>
      </w:pPr>
      <w:r w:rsidRPr="00CE6BD6">
        <w:rPr>
          <w:rFonts w:asciiTheme="minorHAnsi" w:eastAsiaTheme="minorHAnsi" w:hAnsiTheme="minorHAnsi" w:cs="Arial"/>
          <w:i/>
          <w:color w:val="1F497D" w:themeColor="text2"/>
          <w:sz w:val="22"/>
          <w:szCs w:val="22"/>
          <w:lang w:eastAsia="en-US"/>
        </w:rPr>
        <w:t>Community Strategic Plan – Blayney 2025:</w:t>
      </w:r>
    </w:p>
    <w:p w:rsidR="00B168EC" w:rsidRPr="00CE6BD6" w:rsidRDefault="00B168EC" w:rsidP="003D0338">
      <w:pPr>
        <w:autoSpaceDE w:val="0"/>
        <w:autoSpaceDN w:val="0"/>
        <w:adjustRightInd w:val="0"/>
        <w:rPr>
          <w:rFonts w:asciiTheme="minorHAnsi" w:eastAsiaTheme="minorHAnsi" w:hAnsiTheme="minorHAnsi" w:cs="Arial"/>
          <w:b/>
          <w:color w:val="1F497D" w:themeColor="text2"/>
          <w:sz w:val="22"/>
          <w:szCs w:val="22"/>
          <w:lang w:eastAsia="en-US"/>
        </w:rPr>
      </w:pPr>
    </w:p>
    <w:p w:rsidR="00B168EC" w:rsidRPr="00CE6BD6" w:rsidRDefault="00B168EC" w:rsidP="003D0338">
      <w:pPr>
        <w:autoSpaceDE w:val="0"/>
        <w:autoSpaceDN w:val="0"/>
        <w:adjustRightInd w:val="0"/>
        <w:rPr>
          <w:rFonts w:asciiTheme="minorHAnsi" w:hAnsiTheme="minorHAnsi"/>
          <w:b/>
          <w:color w:val="1F497D" w:themeColor="text2"/>
          <w:sz w:val="22"/>
          <w:szCs w:val="22"/>
        </w:rPr>
      </w:pPr>
      <w:r w:rsidRPr="00CE6BD6">
        <w:rPr>
          <w:rFonts w:asciiTheme="minorHAnsi" w:hAnsiTheme="minorHAnsi" w:cs="MyriadPro-Semibold"/>
          <w:b/>
          <w:bCs/>
          <w:color w:val="1F497D" w:themeColor="text2"/>
          <w:sz w:val="22"/>
          <w:szCs w:val="22"/>
        </w:rPr>
        <w:t>Future Direction 4: Develop and maintain Shire infrastructure</w:t>
      </w:r>
    </w:p>
    <w:p w:rsidR="00B168EC" w:rsidRPr="00CE6BD6" w:rsidRDefault="00B168EC" w:rsidP="00B168EC">
      <w:pPr>
        <w:autoSpaceDE w:val="0"/>
        <w:autoSpaceDN w:val="0"/>
        <w:adjustRightInd w:val="0"/>
        <w:rPr>
          <w:rFonts w:asciiTheme="minorHAnsi" w:hAnsiTheme="minorHAnsi"/>
          <w:b/>
          <w:color w:val="1F497D" w:themeColor="text2"/>
          <w:sz w:val="22"/>
          <w:szCs w:val="22"/>
        </w:rPr>
      </w:pPr>
      <w:r w:rsidRPr="00CE6BD6">
        <w:rPr>
          <w:rFonts w:asciiTheme="minorHAnsi" w:hAnsiTheme="minorHAnsi" w:cs="MyriadPro-Light"/>
          <w:b/>
          <w:color w:val="1F497D" w:themeColor="text2"/>
          <w:sz w:val="22"/>
          <w:szCs w:val="22"/>
        </w:rPr>
        <w:t>STRATEGIC OUTCOME CSP4.1: ADEQUATE PROVISION OF TRANSPORT, ROADS, RAIL, INFORMATION AND COMMUNICATION TECHNOLOGIES AND COMMUNITY SOCIAL ASSETS.</w:t>
      </w:r>
    </w:p>
    <w:p w:rsidR="00B168EC" w:rsidRPr="00CE6BD6" w:rsidRDefault="00B168EC" w:rsidP="00B44027">
      <w:pPr>
        <w:pStyle w:val="BodyText"/>
        <w:spacing w:before="0"/>
        <w:rPr>
          <w:rFonts w:asciiTheme="minorHAnsi" w:hAnsiTheme="minorHAnsi"/>
          <w:color w:val="1F497D" w:themeColor="text2"/>
          <w:sz w:val="22"/>
          <w:szCs w:val="22"/>
        </w:rPr>
      </w:pPr>
    </w:p>
    <w:p w:rsidR="00B44027" w:rsidRPr="00CE6BD6" w:rsidRDefault="00532A19" w:rsidP="00B44027">
      <w:pPr>
        <w:pStyle w:val="BodyText"/>
        <w:spacing w:before="0"/>
        <w:rPr>
          <w:rFonts w:asciiTheme="minorHAnsi" w:hAnsiTheme="minorHAnsi"/>
          <w:color w:val="1F497D" w:themeColor="text2"/>
          <w:sz w:val="22"/>
          <w:szCs w:val="22"/>
        </w:rPr>
      </w:pPr>
      <w:r w:rsidRPr="00CE6BD6">
        <w:rPr>
          <w:rFonts w:asciiTheme="minorHAnsi" w:hAnsiTheme="minorHAnsi"/>
          <w:color w:val="1F497D" w:themeColor="text2"/>
          <w:sz w:val="22"/>
          <w:szCs w:val="22"/>
        </w:rPr>
        <w:t>The Long Term Financial Plan articulates the way forward for Council to achieve long term financial sustainability.</w:t>
      </w:r>
      <w:r w:rsidRPr="00CE6BD6">
        <w:rPr>
          <w:rFonts w:asciiTheme="minorHAnsi" w:hAnsiTheme="minorHAnsi"/>
          <w:i/>
          <w:color w:val="1F497D" w:themeColor="text2"/>
          <w:sz w:val="22"/>
          <w:szCs w:val="22"/>
        </w:rPr>
        <w:t xml:space="preserve"> (It should be noted that in the Long Term Financial Plan an assumption has been included for further rate variations outside the period of this application i.e. 2016/17 to 2023/24.)</w:t>
      </w:r>
    </w:p>
    <w:p w:rsidR="00532A19" w:rsidRPr="00CE6BD6" w:rsidRDefault="00532A19" w:rsidP="00B44027">
      <w:pPr>
        <w:pStyle w:val="BodyText"/>
        <w:spacing w:before="0"/>
        <w:rPr>
          <w:rFonts w:asciiTheme="minorHAnsi" w:hAnsiTheme="minorHAnsi"/>
          <w:color w:val="1F497D" w:themeColor="text2"/>
          <w:sz w:val="22"/>
          <w:szCs w:val="22"/>
        </w:rPr>
      </w:pPr>
    </w:p>
    <w:p w:rsidR="00532A19" w:rsidRPr="00CE6BD6" w:rsidRDefault="00532A19" w:rsidP="00B44027">
      <w:pPr>
        <w:pStyle w:val="BodyText"/>
        <w:spacing w:before="0"/>
        <w:rPr>
          <w:rFonts w:asciiTheme="minorHAnsi" w:hAnsiTheme="minorHAnsi"/>
          <w:color w:val="1F497D" w:themeColor="text2"/>
          <w:sz w:val="22"/>
          <w:szCs w:val="22"/>
        </w:rPr>
      </w:pPr>
      <w:r w:rsidRPr="00CE6BD6">
        <w:rPr>
          <w:rFonts w:asciiTheme="minorHAnsi" w:hAnsiTheme="minorHAnsi"/>
          <w:color w:val="1F497D" w:themeColor="text2"/>
          <w:sz w:val="22"/>
          <w:szCs w:val="22"/>
        </w:rPr>
        <w:t xml:space="preserve">Council’s Asset Management Plans, whilst prepared on the basis of a 6 year 15% special </w:t>
      </w:r>
      <w:r w:rsidR="00B168EC" w:rsidRPr="00CE6BD6">
        <w:rPr>
          <w:rFonts w:asciiTheme="minorHAnsi" w:hAnsiTheme="minorHAnsi"/>
          <w:color w:val="1F497D" w:themeColor="text2"/>
          <w:sz w:val="22"/>
          <w:szCs w:val="22"/>
        </w:rPr>
        <w:t>rate variation and now pared back, provide Council with an overview to go forward and demonstrate need for more adequate funding into the future. It should also be noted that these documents are constantly under review in line with community accepted service levels, alternate solutions and changing priorities. This has also been the case with Council’s determination for a 2 year 6% p.a. special variation.</w:t>
      </w:r>
    </w:p>
    <w:p w:rsidR="00532A19" w:rsidRPr="00667B53" w:rsidRDefault="00532A19" w:rsidP="00B44027">
      <w:pPr>
        <w:pStyle w:val="BodyText"/>
        <w:spacing w:before="0"/>
        <w:rPr>
          <w:rFonts w:asciiTheme="minorHAnsi" w:hAnsiTheme="minorHAnsi"/>
          <w:color w:val="1F497D" w:themeColor="text2"/>
          <w:sz w:val="22"/>
          <w:szCs w:val="22"/>
          <w:highlight w:val="green"/>
        </w:rPr>
      </w:pPr>
    </w:p>
    <w:p w:rsidR="00B44027" w:rsidRPr="003319EA" w:rsidRDefault="00B44027" w:rsidP="00B44027">
      <w:pPr>
        <w:pStyle w:val="BodyText"/>
        <w:spacing w:before="0"/>
        <w:rPr>
          <w:rFonts w:asciiTheme="minorHAnsi" w:hAnsiTheme="minorHAnsi"/>
          <w:color w:val="1F497D" w:themeColor="text2"/>
          <w:sz w:val="22"/>
          <w:szCs w:val="22"/>
        </w:rPr>
      </w:pPr>
      <w:r w:rsidRPr="003319EA">
        <w:rPr>
          <w:rFonts w:asciiTheme="minorHAnsi" w:hAnsiTheme="minorHAnsi"/>
          <w:color w:val="1F497D" w:themeColor="text2"/>
          <w:sz w:val="22"/>
          <w:szCs w:val="22"/>
        </w:rPr>
        <w:t>DOCUMENTATION</w:t>
      </w:r>
    </w:p>
    <w:p w:rsidR="00B44027" w:rsidRPr="003319EA" w:rsidRDefault="00B44027" w:rsidP="00B44027">
      <w:pPr>
        <w:pStyle w:val="BodyText"/>
        <w:spacing w:before="0"/>
        <w:rPr>
          <w:rFonts w:asciiTheme="minorHAnsi" w:hAnsiTheme="minorHAnsi"/>
          <w:color w:val="1F497D" w:themeColor="text2"/>
          <w:sz w:val="22"/>
          <w:szCs w:val="22"/>
        </w:rPr>
      </w:pPr>
      <w:r w:rsidRPr="003319EA">
        <w:rPr>
          <w:rFonts w:asciiTheme="minorHAnsi" w:hAnsiTheme="minorHAnsi"/>
          <w:color w:val="1F497D" w:themeColor="text2"/>
          <w:sz w:val="22"/>
          <w:szCs w:val="22"/>
        </w:rPr>
        <w:t>The following documents have been attached in support of this application:</w:t>
      </w:r>
    </w:p>
    <w:p w:rsidR="00B44027" w:rsidRPr="003319EA" w:rsidRDefault="00B44027" w:rsidP="00B44027">
      <w:pPr>
        <w:pStyle w:val="BodyText"/>
        <w:spacing w:before="0"/>
        <w:rPr>
          <w:rFonts w:asciiTheme="minorHAnsi" w:hAnsiTheme="minorHAnsi"/>
          <w:color w:val="1F497D" w:themeColor="text2"/>
          <w:sz w:val="22"/>
          <w:szCs w:val="22"/>
        </w:rPr>
      </w:pPr>
    </w:p>
    <w:p w:rsidR="00B44027" w:rsidRPr="003319EA" w:rsidRDefault="00B44027" w:rsidP="00B44027">
      <w:pPr>
        <w:pStyle w:val="BodyText"/>
        <w:spacing w:before="0"/>
        <w:rPr>
          <w:rFonts w:asciiTheme="minorHAnsi" w:hAnsiTheme="minorHAnsi"/>
          <w:color w:val="1F497D" w:themeColor="text2"/>
          <w:sz w:val="22"/>
          <w:szCs w:val="22"/>
        </w:rPr>
      </w:pPr>
      <w:r w:rsidRPr="003319EA">
        <w:rPr>
          <w:rFonts w:asciiTheme="minorHAnsi" w:hAnsiTheme="minorHAnsi"/>
          <w:color w:val="1F497D" w:themeColor="text2"/>
          <w:sz w:val="22"/>
          <w:szCs w:val="22"/>
        </w:rPr>
        <w:t>Community Strategic Plan – Blayney Shire 2025</w:t>
      </w:r>
    </w:p>
    <w:p w:rsidR="00B44027" w:rsidRPr="003319EA" w:rsidRDefault="00B44027" w:rsidP="00B44027">
      <w:pPr>
        <w:pStyle w:val="BodyText"/>
        <w:spacing w:before="0"/>
        <w:rPr>
          <w:rFonts w:asciiTheme="minorHAnsi" w:hAnsiTheme="minorHAnsi"/>
          <w:color w:val="1F497D" w:themeColor="text2"/>
          <w:sz w:val="22"/>
          <w:szCs w:val="22"/>
        </w:rPr>
      </w:pPr>
    </w:p>
    <w:p w:rsidR="00B44027" w:rsidRPr="003319EA" w:rsidRDefault="00B44027" w:rsidP="00B44027">
      <w:pPr>
        <w:pStyle w:val="BodyText"/>
        <w:spacing w:before="0"/>
        <w:rPr>
          <w:rFonts w:asciiTheme="minorHAnsi" w:hAnsiTheme="minorHAnsi"/>
          <w:color w:val="1F497D" w:themeColor="text2"/>
          <w:sz w:val="22"/>
          <w:szCs w:val="22"/>
        </w:rPr>
      </w:pPr>
      <w:r w:rsidRPr="003319EA">
        <w:rPr>
          <w:rFonts w:asciiTheme="minorHAnsi" w:hAnsiTheme="minorHAnsi"/>
          <w:color w:val="1F497D" w:themeColor="text2"/>
          <w:sz w:val="22"/>
          <w:szCs w:val="22"/>
        </w:rPr>
        <w:t>Delivery Plan 2014/15 - 2017/18</w:t>
      </w:r>
    </w:p>
    <w:p w:rsidR="00B44027" w:rsidRPr="003319EA" w:rsidRDefault="00B44027" w:rsidP="00B44027">
      <w:pPr>
        <w:pStyle w:val="BodyText"/>
        <w:spacing w:before="0"/>
        <w:rPr>
          <w:rFonts w:asciiTheme="minorHAnsi" w:hAnsiTheme="minorHAnsi"/>
          <w:color w:val="1F497D" w:themeColor="text2"/>
          <w:sz w:val="22"/>
          <w:szCs w:val="22"/>
        </w:rPr>
      </w:pPr>
    </w:p>
    <w:p w:rsidR="00B44027" w:rsidRPr="003319EA" w:rsidRDefault="00B44027" w:rsidP="00B44027">
      <w:pPr>
        <w:pStyle w:val="BodyText"/>
        <w:spacing w:before="0"/>
        <w:rPr>
          <w:rFonts w:asciiTheme="minorHAnsi" w:hAnsiTheme="minorHAnsi"/>
          <w:color w:val="1F497D" w:themeColor="text2"/>
          <w:sz w:val="22"/>
          <w:szCs w:val="22"/>
        </w:rPr>
      </w:pPr>
      <w:r w:rsidRPr="003319EA">
        <w:rPr>
          <w:rFonts w:asciiTheme="minorHAnsi" w:hAnsiTheme="minorHAnsi"/>
          <w:color w:val="1F497D" w:themeColor="text2"/>
          <w:sz w:val="22"/>
          <w:szCs w:val="22"/>
        </w:rPr>
        <w:t>Community Engagement Strategy</w:t>
      </w:r>
    </w:p>
    <w:p w:rsidR="00B44027" w:rsidRPr="003319EA" w:rsidRDefault="00B44027" w:rsidP="00B44027">
      <w:pPr>
        <w:pStyle w:val="BodyText"/>
        <w:spacing w:before="0"/>
        <w:rPr>
          <w:rFonts w:asciiTheme="minorHAnsi" w:hAnsiTheme="minorHAnsi"/>
          <w:color w:val="1F497D" w:themeColor="text2"/>
          <w:sz w:val="22"/>
          <w:szCs w:val="22"/>
        </w:rPr>
      </w:pPr>
    </w:p>
    <w:p w:rsidR="00B44027" w:rsidRPr="003319EA" w:rsidRDefault="00B44027" w:rsidP="00B44027">
      <w:pPr>
        <w:pStyle w:val="BodyText"/>
        <w:spacing w:before="0"/>
        <w:rPr>
          <w:rFonts w:asciiTheme="minorHAnsi" w:hAnsiTheme="minorHAnsi"/>
          <w:color w:val="1F497D" w:themeColor="text2"/>
          <w:sz w:val="22"/>
          <w:szCs w:val="22"/>
        </w:rPr>
      </w:pPr>
      <w:r w:rsidRPr="003319EA">
        <w:rPr>
          <w:rFonts w:asciiTheme="minorHAnsi" w:hAnsiTheme="minorHAnsi"/>
          <w:color w:val="1F497D" w:themeColor="text2"/>
          <w:sz w:val="22"/>
          <w:szCs w:val="22"/>
        </w:rPr>
        <w:t>Long Term Financial Plan 2014/15 - 2023/24</w:t>
      </w:r>
    </w:p>
    <w:p w:rsidR="00B44027" w:rsidRPr="003319EA" w:rsidRDefault="00B44027" w:rsidP="00B44027">
      <w:pPr>
        <w:pStyle w:val="BodyText"/>
        <w:spacing w:before="0"/>
        <w:rPr>
          <w:rFonts w:asciiTheme="minorHAnsi" w:hAnsiTheme="minorHAnsi"/>
          <w:color w:val="1F497D" w:themeColor="text2"/>
          <w:sz w:val="22"/>
          <w:szCs w:val="22"/>
        </w:rPr>
      </w:pPr>
    </w:p>
    <w:p w:rsidR="00B44027" w:rsidRPr="003319EA" w:rsidRDefault="00B44027" w:rsidP="00B44027">
      <w:pPr>
        <w:pStyle w:val="BodyText"/>
        <w:spacing w:before="0"/>
        <w:rPr>
          <w:rFonts w:asciiTheme="minorHAnsi" w:hAnsiTheme="minorHAnsi"/>
          <w:color w:val="1F497D" w:themeColor="text2"/>
          <w:sz w:val="22"/>
          <w:szCs w:val="22"/>
        </w:rPr>
      </w:pPr>
      <w:r w:rsidRPr="003319EA">
        <w:rPr>
          <w:rFonts w:asciiTheme="minorHAnsi" w:hAnsiTheme="minorHAnsi"/>
          <w:color w:val="1F497D" w:themeColor="text2"/>
          <w:sz w:val="22"/>
          <w:szCs w:val="22"/>
        </w:rPr>
        <w:t xml:space="preserve">Asset </w:t>
      </w:r>
      <w:r w:rsidR="00710EF1">
        <w:rPr>
          <w:rFonts w:asciiTheme="minorHAnsi" w:hAnsiTheme="minorHAnsi"/>
          <w:color w:val="1F497D" w:themeColor="text2"/>
          <w:sz w:val="22"/>
          <w:szCs w:val="22"/>
        </w:rPr>
        <w:t>M</w:t>
      </w:r>
      <w:r w:rsidRPr="003319EA">
        <w:rPr>
          <w:rFonts w:asciiTheme="minorHAnsi" w:hAnsiTheme="minorHAnsi"/>
          <w:color w:val="1F497D" w:themeColor="text2"/>
          <w:sz w:val="22"/>
          <w:szCs w:val="22"/>
        </w:rPr>
        <w:t>anagement Strategy</w:t>
      </w:r>
    </w:p>
    <w:p w:rsidR="00B44027" w:rsidRPr="003319EA" w:rsidRDefault="00B44027" w:rsidP="00B44027">
      <w:pPr>
        <w:pStyle w:val="BodyText"/>
        <w:spacing w:before="0"/>
        <w:rPr>
          <w:rFonts w:asciiTheme="minorHAnsi" w:hAnsiTheme="minorHAnsi"/>
          <w:color w:val="1F497D" w:themeColor="text2"/>
          <w:sz w:val="22"/>
          <w:szCs w:val="22"/>
        </w:rPr>
      </w:pPr>
    </w:p>
    <w:p w:rsidR="00B44027" w:rsidRDefault="00B44027" w:rsidP="00B44027">
      <w:pPr>
        <w:pStyle w:val="BodyText"/>
        <w:spacing w:before="0"/>
        <w:rPr>
          <w:rFonts w:asciiTheme="minorHAnsi" w:hAnsiTheme="minorHAnsi"/>
          <w:color w:val="1F497D" w:themeColor="text2"/>
          <w:sz w:val="22"/>
          <w:szCs w:val="22"/>
        </w:rPr>
      </w:pPr>
      <w:r w:rsidRPr="003319EA">
        <w:rPr>
          <w:rFonts w:asciiTheme="minorHAnsi" w:hAnsiTheme="minorHAnsi"/>
          <w:color w:val="1F497D" w:themeColor="text2"/>
          <w:sz w:val="22"/>
          <w:szCs w:val="22"/>
        </w:rPr>
        <w:t>Asset Management Plans for Transport, Sewer, Parks &amp; Gardens, Buildings &amp; Other Structures</w:t>
      </w:r>
    </w:p>
    <w:p w:rsidR="00710EF1" w:rsidRDefault="00710EF1" w:rsidP="00B44027">
      <w:pPr>
        <w:pStyle w:val="BodyText"/>
        <w:spacing w:before="0"/>
        <w:rPr>
          <w:rFonts w:asciiTheme="minorHAnsi" w:hAnsiTheme="minorHAnsi"/>
          <w:color w:val="1F497D" w:themeColor="text2"/>
          <w:sz w:val="22"/>
          <w:szCs w:val="22"/>
        </w:rPr>
      </w:pPr>
    </w:p>
    <w:p w:rsidR="00710EF1" w:rsidRDefault="00710EF1" w:rsidP="00B4402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Workforce Management Strategy 2013/14 – 2017/18</w:t>
      </w:r>
    </w:p>
    <w:p w:rsidR="00C430F7" w:rsidRDefault="00C430F7" w:rsidP="00B4402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NSW Treasury (</w:t>
      </w:r>
      <w:proofErr w:type="spellStart"/>
      <w:r>
        <w:rPr>
          <w:rFonts w:asciiTheme="minorHAnsi" w:hAnsiTheme="minorHAnsi"/>
          <w:color w:val="1F497D" w:themeColor="text2"/>
          <w:sz w:val="22"/>
          <w:szCs w:val="22"/>
        </w:rPr>
        <w:t>TCorp</w:t>
      </w:r>
      <w:proofErr w:type="spellEnd"/>
      <w:r>
        <w:rPr>
          <w:rFonts w:asciiTheme="minorHAnsi" w:hAnsiTheme="minorHAnsi"/>
          <w:color w:val="1F497D" w:themeColor="text2"/>
          <w:sz w:val="22"/>
          <w:szCs w:val="22"/>
        </w:rPr>
        <w:t>) Financial Assessment and Benchmarking Report (March 2013)</w:t>
      </w:r>
    </w:p>
    <w:p w:rsidR="00C430F7" w:rsidRDefault="00C430F7" w:rsidP="00B44027">
      <w:pPr>
        <w:pStyle w:val="BodyText"/>
        <w:spacing w:before="0"/>
        <w:rPr>
          <w:rFonts w:asciiTheme="minorHAnsi" w:hAnsiTheme="minorHAnsi"/>
          <w:color w:val="1F497D" w:themeColor="text2"/>
          <w:sz w:val="22"/>
          <w:szCs w:val="22"/>
        </w:rPr>
      </w:pPr>
    </w:p>
    <w:p w:rsidR="00C430F7" w:rsidRDefault="00C430F7" w:rsidP="00B4402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NSW Treasury (</w:t>
      </w:r>
      <w:proofErr w:type="spellStart"/>
      <w:r>
        <w:rPr>
          <w:rFonts w:asciiTheme="minorHAnsi" w:hAnsiTheme="minorHAnsi"/>
          <w:color w:val="1F497D" w:themeColor="text2"/>
          <w:sz w:val="22"/>
          <w:szCs w:val="22"/>
        </w:rPr>
        <w:t>TCorp</w:t>
      </w:r>
      <w:proofErr w:type="spellEnd"/>
      <w:r>
        <w:rPr>
          <w:rFonts w:asciiTheme="minorHAnsi" w:hAnsiTheme="minorHAnsi"/>
          <w:color w:val="1F497D" w:themeColor="text2"/>
          <w:sz w:val="22"/>
          <w:szCs w:val="22"/>
        </w:rPr>
        <w:t>) Financial Assessment LIRS (April 2013)</w:t>
      </w:r>
    </w:p>
    <w:p w:rsidR="00C430F7" w:rsidRDefault="00C430F7" w:rsidP="00B44027">
      <w:pPr>
        <w:pStyle w:val="BodyText"/>
        <w:spacing w:before="0"/>
        <w:rPr>
          <w:rFonts w:asciiTheme="minorHAnsi" w:hAnsiTheme="minorHAnsi"/>
          <w:color w:val="1F497D" w:themeColor="text2"/>
          <w:sz w:val="22"/>
          <w:szCs w:val="22"/>
        </w:rPr>
      </w:pPr>
    </w:p>
    <w:p w:rsidR="00C430F7" w:rsidRDefault="00C430F7" w:rsidP="00B4402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NSW Treasury (</w:t>
      </w:r>
      <w:proofErr w:type="spellStart"/>
      <w:r>
        <w:rPr>
          <w:rFonts w:asciiTheme="minorHAnsi" w:hAnsiTheme="minorHAnsi"/>
          <w:color w:val="1F497D" w:themeColor="text2"/>
          <w:sz w:val="22"/>
          <w:szCs w:val="22"/>
        </w:rPr>
        <w:t>TCorp</w:t>
      </w:r>
      <w:proofErr w:type="spellEnd"/>
      <w:r>
        <w:rPr>
          <w:rFonts w:asciiTheme="minorHAnsi" w:hAnsiTheme="minorHAnsi"/>
          <w:color w:val="1F497D" w:themeColor="text2"/>
          <w:sz w:val="22"/>
          <w:szCs w:val="22"/>
        </w:rPr>
        <w:t>) Financial Assessment and Sustainability Report (November 2013)</w:t>
      </w:r>
    </w:p>
    <w:p w:rsidR="00C430F7" w:rsidRDefault="00C430F7" w:rsidP="00B44027">
      <w:pPr>
        <w:pStyle w:val="BodyText"/>
        <w:spacing w:before="0"/>
        <w:rPr>
          <w:rFonts w:asciiTheme="minorHAnsi" w:hAnsiTheme="minorHAnsi"/>
          <w:color w:val="1F497D" w:themeColor="text2"/>
          <w:sz w:val="22"/>
          <w:szCs w:val="22"/>
        </w:rPr>
      </w:pPr>
    </w:p>
    <w:p w:rsidR="00C430F7" w:rsidRDefault="00C430F7" w:rsidP="00B4402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Council Report on Community Survey</w:t>
      </w:r>
    </w:p>
    <w:p w:rsidR="00C430F7" w:rsidRDefault="00C430F7" w:rsidP="00B44027">
      <w:pPr>
        <w:pStyle w:val="BodyText"/>
        <w:spacing w:before="0"/>
        <w:rPr>
          <w:rFonts w:asciiTheme="minorHAnsi" w:hAnsiTheme="minorHAnsi"/>
          <w:color w:val="1F497D" w:themeColor="text2"/>
          <w:sz w:val="22"/>
          <w:szCs w:val="22"/>
        </w:rPr>
      </w:pPr>
    </w:p>
    <w:p w:rsidR="00C430F7" w:rsidRDefault="00C430F7" w:rsidP="00B4402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Community Survey Results</w:t>
      </w:r>
    </w:p>
    <w:p w:rsidR="00AC0BF5" w:rsidRDefault="00AC0BF5" w:rsidP="00AC0BF5">
      <w:pPr>
        <w:pStyle w:val="Heading2"/>
      </w:pPr>
      <w:bookmarkStart w:id="15" w:name="_Toc380956888"/>
      <w:r>
        <w:t xml:space="preserve">Alternative </w:t>
      </w:r>
      <w:r w:rsidR="00600721">
        <w:t xml:space="preserve">funding </w:t>
      </w:r>
      <w:r>
        <w:t>options</w:t>
      </w:r>
      <w:bookmarkEnd w:id="15"/>
    </w:p>
    <w:p w:rsidR="00AC0BF5" w:rsidRDefault="009C6218" w:rsidP="00AC0BF5">
      <w:pPr>
        <w:pStyle w:val="BodyText"/>
      </w:pPr>
      <w:r>
        <w:t>E</w:t>
      </w:r>
      <w:r w:rsidR="00AC0BF5" w:rsidRPr="00E67DA2">
        <w:t>xplain</w:t>
      </w:r>
      <w:r w:rsidR="003515CF">
        <w:t xml:space="preserve"> </w:t>
      </w:r>
      <w:r w:rsidR="00AC0BF5" w:rsidRPr="00AE168D">
        <w:t xml:space="preserve">how the decision to </w:t>
      </w:r>
      <w:r w:rsidR="00AC0BF5">
        <w:t>seek higher revenues</w:t>
      </w:r>
      <w:r w:rsidR="00AC0BF5" w:rsidRPr="00AE168D">
        <w:t xml:space="preserve"> </w:t>
      </w:r>
      <w:r w:rsidR="00AC0BF5">
        <w:t>w</w:t>
      </w:r>
      <w:r w:rsidR="00AC0BF5" w:rsidRPr="00AE168D">
        <w:t xml:space="preserve">as </w:t>
      </w:r>
      <w:r w:rsidR="00AC0BF5">
        <w:t>made after other options such as</w:t>
      </w:r>
      <w:r w:rsidR="00AC0BF5" w:rsidRPr="00AE168D">
        <w:t xml:space="preserve"> changing expenditure priorities</w:t>
      </w:r>
      <w:r w:rsidR="00AC0BF5">
        <w:t xml:space="preserve"> or using</w:t>
      </w:r>
      <w:r w:rsidR="00AC0BF5" w:rsidRPr="00AE168D">
        <w:t xml:space="preserve"> alternative modes of service delivery</w:t>
      </w:r>
      <w:r w:rsidR="00AC0BF5">
        <w:t xml:space="preserve"> were examined</w:t>
      </w:r>
      <w:r w:rsidR="003515CF">
        <w:t>.  Also explain</w:t>
      </w:r>
      <w:r w:rsidR="00AC0BF5">
        <w:t xml:space="preserve"> the range of alternative revenue/financing options </w:t>
      </w:r>
      <w:r>
        <w:t>you</w:t>
      </w:r>
      <w:r w:rsidR="00AC0BF5">
        <w:t xml:space="preserve"> </w:t>
      </w:r>
      <w:r w:rsidR="00AC0BF5" w:rsidRPr="00BD73EA">
        <w:t xml:space="preserve">considered </w:t>
      </w:r>
      <w:r w:rsidR="00A5631B" w:rsidRPr="00BD73EA">
        <w:t>and why the special variation is the most appropriate option</w:t>
      </w:r>
      <w:r w:rsidR="00A5631B">
        <w:t>.  For example,</w:t>
      </w:r>
      <w:r w:rsidR="00AC0BF5" w:rsidRPr="00BD73EA">
        <w:t xml:space="preserve"> </w:t>
      </w:r>
      <w:r w:rsidR="008021B5" w:rsidRPr="00BD73EA">
        <w:t xml:space="preserve">typically these </w:t>
      </w:r>
      <w:r w:rsidR="00A5631B">
        <w:t xml:space="preserve">options </w:t>
      </w:r>
      <w:r w:rsidR="008021B5" w:rsidRPr="00BD73EA">
        <w:t xml:space="preserve">would </w:t>
      </w:r>
      <w:r w:rsidR="00A5631B">
        <w:t xml:space="preserve">include </w:t>
      </w:r>
      <w:r w:rsidR="008021B5" w:rsidRPr="00BD73EA">
        <w:t>introduc</w:t>
      </w:r>
      <w:r w:rsidR="00A5631B">
        <w:t>ing</w:t>
      </w:r>
      <w:r w:rsidR="008021B5" w:rsidRPr="00BD73EA">
        <w:t xml:space="preserve"> </w:t>
      </w:r>
      <w:r w:rsidR="00AC0BF5" w:rsidRPr="00BD73EA">
        <w:t>new or higher user charges</w:t>
      </w:r>
      <w:r w:rsidR="008021B5" w:rsidRPr="00BD73EA">
        <w:t xml:space="preserve"> and increase council </w:t>
      </w:r>
      <w:r w:rsidR="00AC0BF5" w:rsidRPr="00BD73EA">
        <w:t xml:space="preserve">borrowing, </w:t>
      </w:r>
      <w:r w:rsidR="008021B5" w:rsidRPr="00BD73EA">
        <w:t xml:space="preserve">but may include </w:t>
      </w:r>
      <w:r w:rsidR="00AC0BF5" w:rsidRPr="00BD73EA">
        <w:t>private public partnerships</w:t>
      </w:r>
      <w:r w:rsidR="008021B5" w:rsidRPr="00BD73EA">
        <w:t xml:space="preserve"> or </w:t>
      </w:r>
      <w:r w:rsidR="00AC0BF5" w:rsidRPr="00BD73EA">
        <w:t>joint ventures</w:t>
      </w:r>
      <w:r w:rsidR="003B2F4E" w:rsidRPr="00BD73EA">
        <w:t xml:space="preserve">. </w:t>
      </w:r>
    </w:p>
    <w:p w:rsidR="00AC0BF5" w:rsidRDefault="009C6218" w:rsidP="00AC0BF5">
      <w:pPr>
        <w:pStyle w:val="BodyText"/>
      </w:pPr>
      <w:r>
        <w:t>P</w:t>
      </w:r>
      <w:r w:rsidR="00AC0BF5">
        <w:t xml:space="preserve">rovide extracts from, or references to, the IP&amp;R document(s) which show </w:t>
      </w:r>
      <w:r w:rsidR="008021B5">
        <w:t xml:space="preserve">how the council </w:t>
      </w:r>
      <w:r w:rsidR="00AC0BF5">
        <w:t>consider</w:t>
      </w:r>
      <w:r w:rsidR="008021B5">
        <w:t>ed</w:t>
      </w:r>
      <w:r w:rsidR="00AC0BF5">
        <w:t xml:space="preserve"> the alternatives.</w:t>
      </w:r>
    </w:p>
    <w:p w:rsidR="00080A0D" w:rsidRDefault="00080A0D" w:rsidP="008D7C80">
      <w:pPr>
        <w:rPr>
          <w:rFonts w:asciiTheme="minorHAnsi" w:hAnsiTheme="minorHAnsi"/>
          <w:b/>
          <w:color w:val="1F497D" w:themeColor="text2"/>
          <w:sz w:val="22"/>
          <w:szCs w:val="22"/>
        </w:rPr>
      </w:pPr>
    </w:p>
    <w:p w:rsidR="008D7C80" w:rsidRPr="008D7C80" w:rsidRDefault="008D7C80" w:rsidP="008D7C80">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E92D91" w:rsidRDefault="00E92D91"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As a small rural Shire options for alternative sources of funding are restricted. The following </w:t>
      </w:r>
      <w:r w:rsidR="00185DB8">
        <w:rPr>
          <w:rFonts w:asciiTheme="minorHAnsi" w:hAnsiTheme="minorHAnsi"/>
          <w:color w:val="1F497D" w:themeColor="text2"/>
          <w:sz w:val="22"/>
          <w:szCs w:val="22"/>
        </w:rPr>
        <w:t xml:space="preserve">information </w:t>
      </w:r>
      <w:r>
        <w:rPr>
          <w:rFonts w:asciiTheme="minorHAnsi" w:hAnsiTheme="minorHAnsi"/>
          <w:color w:val="1F497D" w:themeColor="text2"/>
          <w:sz w:val="22"/>
          <w:szCs w:val="22"/>
        </w:rPr>
        <w:t>provide</w:t>
      </w:r>
      <w:r w:rsidR="00185DB8">
        <w:rPr>
          <w:rFonts w:asciiTheme="minorHAnsi" w:hAnsiTheme="minorHAnsi"/>
          <w:color w:val="1F497D" w:themeColor="text2"/>
          <w:sz w:val="22"/>
          <w:szCs w:val="22"/>
        </w:rPr>
        <w:t>s an overview of Council’s approach:</w:t>
      </w:r>
    </w:p>
    <w:p w:rsidR="00E92D91" w:rsidRDefault="00E92D91" w:rsidP="008D7C80">
      <w:pPr>
        <w:pStyle w:val="BodyText"/>
        <w:spacing w:before="0"/>
        <w:rPr>
          <w:rFonts w:asciiTheme="minorHAnsi" w:hAnsiTheme="minorHAnsi"/>
          <w:color w:val="1F497D" w:themeColor="text2"/>
          <w:sz w:val="22"/>
          <w:szCs w:val="22"/>
        </w:rPr>
      </w:pPr>
    </w:p>
    <w:p w:rsidR="006468BD" w:rsidRDefault="006468BD" w:rsidP="006468BD">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OTHER FUNDING OPTIONS</w:t>
      </w:r>
    </w:p>
    <w:p w:rsidR="00CB275F" w:rsidRDefault="006468BD"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Council has considered other funding options in its preparation of its planning documents. The basis for these has had emphasis on evidence, awareness of future programs, opportunities and likely occurrences. </w:t>
      </w:r>
    </w:p>
    <w:p w:rsidR="00CB275F" w:rsidRDefault="00CB275F" w:rsidP="008D7C80">
      <w:pPr>
        <w:pStyle w:val="BodyText"/>
        <w:spacing w:before="0"/>
        <w:rPr>
          <w:rFonts w:asciiTheme="minorHAnsi" w:hAnsiTheme="minorHAnsi"/>
          <w:color w:val="1F497D" w:themeColor="text2"/>
          <w:sz w:val="22"/>
          <w:szCs w:val="22"/>
        </w:rPr>
      </w:pPr>
    </w:p>
    <w:p w:rsidR="006468BD" w:rsidRDefault="006468BD"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Council has included in its </w:t>
      </w:r>
      <w:r w:rsidR="00870CDE">
        <w:rPr>
          <w:rFonts w:asciiTheme="minorHAnsi" w:hAnsiTheme="minorHAnsi"/>
          <w:color w:val="1F497D" w:themeColor="text2"/>
          <w:sz w:val="22"/>
          <w:szCs w:val="22"/>
        </w:rPr>
        <w:t xml:space="preserve">long term financial plan </w:t>
      </w:r>
      <w:r>
        <w:rPr>
          <w:rFonts w:asciiTheme="minorHAnsi" w:hAnsiTheme="minorHAnsi"/>
          <w:color w:val="1F497D" w:themeColor="text2"/>
          <w:sz w:val="22"/>
          <w:szCs w:val="22"/>
        </w:rPr>
        <w:t>disclosures rega</w:t>
      </w:r>
      <w:r w:rsidR="00CB275F">
        <w:rPr>
          <w:rFonts w:asciiTheme="minorHAnsi" w:hAnsiTheme="minorHAnsi"/>
          <w:color w:val="1F497D" w:themeColor="text2"/>
          <w:sz w:val="22"/>
          <w:szCs w:val="22"/>
        </w:rPr>
        <w:t>r</w:t>
      </w:r>
      <w:r>
        <w:rPr>
          <w:rFonts w:asciiTheme="minorHAnsi" w:hAnsiTheme="minorHAnsi"/>
          <w:color w:val="1F497D" w:themeColor="text2"/>
          <w:sz w:val="22"/>
          <w:szCs w:val="22"/>
        </w:rPr>
        <w:t xml:space="preserve">ding </w:t>
      </w:r>
      <w:r w:rsidR="00CB275F">
        <w:rPr>
          <w:rFonts w:asciiTheme="minorHAnsi" w:hAnsiTheme="minorHAnsi"/>
          <w:color w:val="1F497D" w:themeColor="text2"/>
          <w:sz w:val="22"/>
          <w:szCs w:val="22"/>
        </w:rPr>
        <w:t>Grants and Contributions. Council explored options and opportunities however where no knowledge or evidence of programs exists it has adopted a prudent approach in its forecasts. Other User Fees and Other Revenues were also given consideration and a review of these will be ongoing in the future however the impact is considered immaterial to deliver the funding levels required to assist Council to sustain service delivery long term.</w:t>
      </w:r>
    </w:p>
    <w:p w:rsidR="006468BD" w:rsidRDefault="006468BD" w:rsidP="008D7C80">
      <w:pPr>
        <w:pStyle w:val="BodyText"/>
        <w:spacing w:before="0"/>
        <w:rPr>
          <w:rFonts w:asciiTheme="minorHAnsi" w:hAnsiTheme="minorHAnsi"/>
          <w:color w:val="1F497D" w:themeColor="text2"/>
          <w:sz w:val="22"/>
          <w:szCs w:val="22"/>
        </w:rPr>
      </w:pPr>
    </w:p>
    <w:p w:rsidR="006E71EE" w:rsidRPr="006E71EE" w:rsidRDefault="00CB275F" w:rsidP="006E71EE">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Council has sought to incorporate borrowings into its </w:t>
      </w:r>
      <w:r w:rsidR="00E10B45">
        <w:rPr>
          <w:rFonts w:asciiTheme="minorHAnsi" w:hAnsiTheme="minorHAnsi"/>
          <w:color w:val="1F497D" w:themeColor="text2"/>
          <w:sz w:val="22"/>
          <w:szCs w:val="22"/>
        </w:rPr>
        <w:t xml:space="preserve">future funding of services </w:t>
      </w:r>
      <w:r>
        <w:rPr>
          <w:rFonts w:asciiTheme="minorHAnsi" w:hAnsiTheme="minorHAnsi"/>
          <w:color w:val="1F497D" w:themeColor="text2"/>
          <w:sz w:val="22"/>
          <w:szCs w:val="22"/>
        </w:rPr>
        <w:t>planning</w:t>
      </w:r>
      <w:r w:rsidR="00E10B45">
        <w:rPr>
          <w:rFonts w:asciiTheme="minorHAnsi" w:hAnsiTheme="minorHAnsi"/>
          <w:color w:val="1F497D" w:themeColor="text2"/>
          <w:sz w:val="22"/>
          <w:szCs w:val="22"/>
        </w:rPr>
        <w:t xml:space="preserve">, </w:t>
      </w:r>
      <w:r>
        <w:rPr>
          <w:rFonts w:asciiTheme="minorHAnsi" w:hAnsiTheme="minorHAnsi"/>
          <w:color w:val="1F497D" w:themeColor="text2"/>
          <w:sz w:val="22"/>
          <w:szCs w:val="22"/>
        </w:rPr>
        <w:t>consistent with the principles of inter-generational equity</w:t>
      </w:r>
      <w:r w:rsidR="00E10B45">
        <w:rPr>
          <w:rFonts w:asciiTheme="minorHAnsi" w:hAnsiTheme="minorHAnsi"/>
          <w:color w:val="1F497D" w:themeColor="text2"/>
          <w:sz w:val="22"/>
          <w:szCs w:val="22"/>
        </w:rPr>
        <w:t xml:space="preserve">, however a prudent approach has been taken ensuring such commitments can be serviced. </w:t>
      </w:r>
      <w:r w:rsidR="006E71EE">
        <w:rPr>
          <w:rFonts w:asciiTheme="minorHAnsi" w:hAnsiTheme="minorHAnsi"/>
          <w:color w:val="1F497D" w:themeColor="text2"/>
          <w:sz w:val="22"/>
          <w:szCs w:val="22"/>
        </w:rPr>
        <w:t xml:space="preserve">Council’s plans include reference to </w:t>
      </w:r>
      <w:r w:rsidR="006E71EE" w:rsidRPr="006E71EE">
        <w:rPr>
          <w:rFonts w:asciiTheme="minorHAnsi" w:hAnsiTheme="minorHAnsi"/>
          <w:i/>
          <w:color w:val="1F497D" w:themeColor="text2"/>
          <w:sz w:val="22"/>
          <w:szCs w:val="22"/>
        </w:rPr>
        <w:t>“w</w:t>
      </w:r>
      <w:r w:rsidR="006E71EE" w:rsidRPr="006E71EE">
        <w:rPr>
          <w:rFonts w:asciiTheme="minorHAnsi" w:hAnsiTheme="minorHAnsi"/>
          <w:i/>
          <w:color w:val="1F497D" w:themeColor="text2"/>
        </w:rPr>
        <w:t>here possible the term of the loan will be matched against the future economic benefit of the asset. This means that the asset/borrowing will be paid for by residents who will consume the services provided by the asset over its useful life”.</w:t>
      </w:r>
    </w:p>
    <w:p w:rsidR="006468BD" w:rsidRDefault="006468BD" w:rsidP="006E71EE">
      <w:pPr>
        <w:rPr>
          <w:rFonts w:asciiTheme="minorHAnsi" w:hAnsiTheme="minorHAnsi"/>
          <w:color w:val="1F497D" w:themeColor="text2"/>
        </w:rPr>
      </w:pPr>
    </w:p>
    <w:p w:rsidR="00B317B5" w:rsidRPr="00870CDE" w:rsidRDefault="00B317B5" w:rsidP="006E71EE">
      <w:pPr>
        <w:rPr>
          <w:rFonts w:asciiTheme="minorHAnsi" w:hAnsiTheme="minorHAnsi"/>
          <w:color w:val="1F497D" w:themeColor="text2"/>
          <w:sz w:val="22"/>
          <w:szCs w:val="22"/>
        </w:rPr>
      </w:pPr>
      <w:r w:rsidRPr="00870CDE">
        <w:rPr>
          <w:rFonts w:asciiTheme="minorHAnsi" w:hAnsiTheme="minorHAnsi"/>
          <w:color w:val="1F497D" w:themeColor="text2"/>
          <w:sz w:val="22"/>
          <w:szCs w:val="22"/>
        </w:rPr>
        <w:lastRenderedPageBreak/>
        <w:t xml:space="preserve">Council has also taken the opportunity to </w:t>
      </w:r>
      <w:r w:rsidR="00870CDE" w:rsidRPr="00870CDE">
        <w:rPr>
          <w:rFonts w:asciiTheme="minorHAnsi" w:hAnsiTheme="minorHAnsi"/>
          <w:color w:val="1F497D" w:themeColor="text2"/>
          <w:sz w:val="22"/>
          <w:szCs w:val="22"/>
        </w:rPr>
        <w:t>discuss</w:t>
      </w:r>
      <w:r w:rsidRPr="00870CDE">
        <w:rPr>
          <w:rFonts w:asciiTheme="minorHAnsi" w:hAnsiTheme="minorHAnsi"/>
          <w:color w:val="1F497D" w:themeColor="text2"/>
          <w:sz w:val="22"/>
          <w:szCs w:val="22"/>
        </w:rPr>
        <w:t xml:space="preserve"> loan practices with </w:t>
      </w:r>
      <w:proofErr w:type="spellStart"/>
      <w:r w:rsidRPr="00870CDE">
        <w:rPr>
          <w:rFonts w:asciiTheme="minorHAnsi" w:hAnsiTheme="minorHAnsi"/>
          <w:color w:val="1F497D" w:themeColor="text2"/>
          <w:sz w:val="22"/>
          <w:szCs w:val="22"/>
        </w:rPr>
        <w:t>TCorp</w:t>
      </w:r>
      <w:proofErr w:type="spellEnd"/>
      <w:r w:rsidRPr="00870CDE">
        <w:rPr>
          <w:rFonts w:asciiTheme="minorHAnsi" w:hAnsiTheme="minorHAnsi"/>
          <w:color w:val="1F497D" w:themeColor="text2"/>
          <w:sz w:val="22"/>
          <w:szCs w:val="22"/>
        </w:rPr>
        <w:t xml:space="preserve"> to identify a repayment base that would suit councils long term asset and service needs. Changes have been made to the long term financial plan and asset plans based on this advice. Council will continue to review both these plans and continue discussion with </w:t>
      </w:r>
      <w:proofErr w:type="spellStart"/>
      <w:r w:rsidRPr="00870CDE">
        <w:rPr>
          <w:rFonts w:asciiTheme="minorHAnsi" w:hAnsiTheme="minorHAnsi"/>
          <w:color w:val="1F497D" w:themeColor="text2"/>
          <w:sz w:val="22"/>
          <w:szCs w:val="22"/>
        </w:rPr>
        <w:t>TCorp</w:t>
      </w:r>
      <w:proofErr w:type="spellEnd"/>
      <w:r w:rsidRPr="00870CDE">
        <w:rPr>
          <w:rFonts w:asciiTheme="minorHAnsi" w:hAnsiTheme="minorHAnsi"/>
          <w:color w:val="1F497D" w:themeColor="text2"/>
          <w:sz w:val="22"/>
          <w:szCs w:val="22"/>
        </w:rPr>
        <w:t>.</w:t>
      </w:r>
    </w:p>
    <w:p w:rsidR="00B317B5" w:rsidRPr="006E71EE" w:rsidRDefault="00B317B5" w:rsidP="006E71EE">
      <w:pPr>
        <w:rPr>
          <w:rFonts w:asciiTheme="minorHAnsi" w:hAnsiTheme="minorHAnsi"/>
          <w:color w:val="1F497D" w:themeColor="text2"/>
        </w:rPr>
      </w:pPr>
    </w:p>
    <w:p w:rsidR="006E71EE" w:rsidRDefault="006E71EE" w:rsidP="006E71EE">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CHANGING EXPENDITURE PRIORITIES</w:t>
      </w:r>
    </w:p>
    <w:p w:rsidR="006E71EE" w:rsidRDefault="006E71EE" w:rsidP="006E71EE">
      <w:pPr>
        <w:pStyle w:val="BodyText"/>
        <w:spacing w:before="0"/>
      </w:pPr>
      <w:r w:rsidRPr="008D7C80">
        <w:rPr>
          <w:rFonts w:asciiTheme="minorHAnsi" w:hAnsiTheme="minorHAnsi"/>
          <w:color w:val="1F497D" w:themeColor="text2"/>
          <w:sz w:val="22"/>
          <w:szCs w:val="22"/>
        </w:rPr>
        <w:t>Council has</w:t>
      </w:r>
      <w:r>
        <w:rPr>
          <w:rFonts w:asciiTheme="minorHAnsi" w:hAnsiTheme="minorHAnsi"/>
          <w:color w:val="1F497D" w:themeColor="text2"/>
          <w:sz w:val="22"/>
          <w:szCs w:val="22"/>
        </w:rPr>
        <w:t xml:space="preserve"> considered changing expenditure priorities </w:t>
      </w:r>
      <w:r w:rsidR="00E92D91">
        <w:rPr>
          <w:rFonts w:asciiTheme="minorHAnsi" w:hAnsiTheme="minorHAnsi"/>
          <w:color w:val="1F497D" w:themeColor="text2"/>
          <w:sz w:val="22"/>
          <w:szCs w:val="22"/>
        </w:rPr>
        <w:t xml:space="preserve">and minor changes have been made in accord with community expectation and need. Overall the impact </w:t>
      </w:r>
      <w:r w:rsidR="00185DB8">
        <w:rPr>
          <w:rFonts w:asciiTheme="minorHAnsi" w:hAnsiTheme="minorHAnsi"/>
          <w:color w:val="1F497D" w:themeColor="text2"/>
          <w:sz w:val="22"/>
          <w:szCs w:val="22"/>
        </w:rPr>
        <w:t>has been minor and h</w:t>
      </w:r>
      <w:r w:rsidR="00870CDE">
        <w:rPr>
          <w:rFonts w:asciiTheme="minorHAnsi" w:hAnsiTheme="minorHAnsi"/>
          <w:color w:val="1F497D" w:themeColor="text2"/>
          <w:sz w:val="22"/>
          <w:szCs w:val="22"/>
        </w:rPr>
        <w:t>as not materially affected the L</w:t>
      </w:r>
      <w:r w:rsidR="00185DB8">
        <w:rPr>
          <w:rFonts w:asciiTheme="minorHAnsi" w:hAnsiTheme="minorHAnsi"/>
          <w:color w:val="1F497D" w:themeColor="text2"/>
          <w:sz w:val="22"/>
          <w:szCs w:val="22"/>
        </w:rPr>
        <w:t>ong Term Financial Plan.</w:t>
      </w:r>
    </w:p>
    <w:p w:rsidR="00106ED8" w:rsidRDefault="00106ED8" w:rsidP="008D7C80">
      <w:pPr>
        <w:pStyle w:val="BodyText"/>
        <w:spacing w:before="0"/>
        <w:rPr>
          <w:rFonts w:asciiTheme="minorHAnsi" w:hAnsiTheme="minorHAnsi"/>
          <w:color w:val="1F497D" w:themeColor="text2"/>
          <w:sz w:val="22"/>
          <w:szCs w:val="22"/>
        </w:rPr>
      </w:pPr>
    </w:p>
    <w:p w:rsidR="00106ED8" w:rsidRDefault="00106ED8"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ALTERNATIVE MODES OF SERVICE DELIVERY</w:t>
      </w:r>
    </w:p>
    <w:p w:rsidR="00185DB8" w:rsidRDefault="00185DB8"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As part of the WBC Alliance, Council is committed to consideration of alternative modes of service delivery. Council currently participates in joint ventures in delivery of some services. No other assumptions or effects have been included into Council’s plans at this point due to no firm direction or determination being made. However Council is embarking in a Shared Services project with the WBC Alliance that is forecast to</w:t>
      </w:r>
      <w:r w:rsidR="00656D25">
        <w:rPr>
          <w:rFonts w:asciiTheme="minorHAnsi" w:hAnsiTheme="minorHAnsi"/>
          <w:color w:val="1F497D" w:themeColor="text2"/>
          <w:sz w:val="22"/>
          <w:szCs w:val="22"/>
        </w:rPr>
        <w:t xml:space="preserve"> materially</w:t>
      </w:r>
      <w:r>
        <w:rPr>
          <w:rFonts w:asciiTheme="minorHAnsi" w:hAnsiTheme="minorHAnsi"/>
          <w:color w:val="1F497D" w:themeColor="text2"/>
          <w:sz w:val="22"/>
          <w:szCs w:val="22"/>
        </w:rPr>
        <w:t xml:space="preserve"> impact on the future delivery of services </w:t>
      </w:r>
      <w:r w:rsidR="00656D25">
        <w:rPr>
          <w:rFonts w:asciiTheme="minorHAnsi" w:hAnsiTheme="minorHAnsi"/>
          <w:color w:val="1F497D" w:themeColor="text2"/>
          <w:sz w:val="22"/>
          <w:szCs w:val="22"/>
        </w:rPr>
        <w:t>by Council.</w:t>
      </w:r>
    </w:p>
    <w:p w:rsidR="00B317B5" w:rsidRDefault="00B317B5" w:rsidP="008D7C80">
      <w:pPr>
        <w:pStyle w:val="BodyText"/>
        <w:spacing w:before="0"/>
        <w:rPr>
          <w:rFonts w:asciiTheme="minorHAnsi" w:hAnsiTheme="minorHAnsi"/>
          <w:color w:val="1F497D" w:themeColor="text2"/>
          <w:sz w:val="22"/>
          <w:szCs w:val="22"/>
        </w:rPr>
      </w:pPr>
    </w:p>
    <w:p w:rsidR="00B317B5" w:rsidRDefault="00B317B5" w:rsidP="008D7C80">
      <w:pPr>
        <w:pStyle w:val="BodyText"/>
        <w:spacing w:before="0"/>
        <w:rPr>
          <w:rFonts w:asciiTheme="minorHAnsi" w:hAnsiTheme="minorHAnsi"/>
          <w:color w:val="1F497D" w:themeColor="text2"/>
          <w:sz w:val="22"/>
          <w:szCs w:val="22"/>
        </w:rPr>
      </w:pPr>
    </w:p>
    <w:p w:rsidR="009E4CA0" w:rsidRDefault="00E815A0" w:rsidP="00AC0BF5">
      <w:pPr>
        <w:pStyle w:val="Heading2"/>
      </w:pPr>
      <w:bookmarkStart w:id="16" w:name="_Toc380956889"/>
      <w:r>
        <w:t>State of financial sustainability</w:t>
      </w:r>
      <w:bookmarkEnd w:id="16"/>
    </w:p>
    <w:p w:rsidR="001E7392" w:rsidRDefault="0003702A" w:rsidP="00C92A8A">
      <w:pPr>
        <w:pStyle w:val="BodyText"/>
      </w:pPr>
      <w:r w:rsidRPr="001E7392">
        <w:t>T</w:t>
      </w:r>
      <w:r w:rsidR="00ED62ED" w:rsidRPr="001E7392">
        <w:t xml:space="preserve">he special variation </w:t>
      </w:r>
      <w:r w:rsidRPr="001E7392">
        <w:t>may be</w:t>
      </w:r>
      <w:r w:rsidR="00ED62ED" w:rsidRPr="001E7392">
        <w:t xml:space="preserve"> intended to improve the council’s underlying financial position, </w:t>
      </w:r>
      <w:r w:rsidR="00181D9B" w:rsidRPr="001E7392">
        <w:t>or to fund specific projects or programs of expenditure, or a combination of the two</w:t>
      </w:r>
      <w:r w:rsidRPr="001E7392">
        <w:t>.  W</w:t>
      </w:r>
      <w:r w:rsidR="00ED62ED" w:rsidRPr="001E7392">
        <w:t xml:space="preserve">e will </w:t>
      </w:r>
      <w:r w:rsidR="00181D9B" w:rsidRPr="001E7392">
        <w:t xml:space="preserve">consider </w:t>
      </w:r>
      <w:r w:rsidR="00ED62ED" w:rsidRPr="001E7392">
        <w:t xml:space="preserve">evidence </w:t>
      </w:r>
      <w:r w:rsidR="00181D9B" w:rsidRPr="001E7392">
        <w:t xml:space="preserve">about the council’s current and future financial sustainability. </w:t>
      </w:r>
      <w:r w:rsidRPr="001E7392">
        <w:t xml:space="preserve"> </w:t>
      </w:r>
    </w:p>
    <w:p w:rsidR="00711455" w:rsidRDefault="00181D9B" w:rsidP="00C92A8A">
      <w:pPr>
        <w:pStyle w:val="BodyText"/>
      </w:pPr>
      <w:r w:rsidRPr="001E7392">
        <w:t>The application should set out the council’s understanding of its current state of financial sustainability</w:t>
      </w:r>
      <w:r w:rsidR="00F8322F" w:rsidRPr="001E7392">
        <w:t xml:space="preserve">, </w:t>
      </w:r>
      <w:r w:rsidRPr="001E7392">
        <w:t xml:space="preserve">as well as long-term projections </w:t>
      </w:r>
      <w:r w:rsidR="00F8322F" w:rsidRPr="001E7392">
        <w:t xml:space="preserve">based on alternative scenarios and assumptions about revenue and expenditure.  </w:t>
      </w:r>
      <w:r w:rsidR="00633B46">
        <w:t>Such e</w:t>
      </w:r>
      <w:r w:rsidR="00F8322F">
        <w:t xml:space="preserve">vidence </w:t>
      </w:r>
      <w:r w:rsidR="00633B46">
        <w:t xml:space="preserve">can </w:t>
      </w:r>
      <w:r w:rsidR="00F8322F">
        <w:t xml:space="preserve">be drawn from the LTFP and </w:t>
      </w:r>
      <w:r w:rsidR="00633B46">
        <w:t xml:space="preserve">from </w:t>
      </w:r>
      <w:r w:rsidR="00F8322F">
        <w:t xml:space="preserve">any external assessment, </w:t>
      </w:r>
      <w:proofErr w:type="spellStart"/>
      <w:r w:rsidR="00F8322F">
        <w:t>eg</w:t>
      </w:r>
      <w:proofErr w:type="spellEnd"/>
      <w:r w:rsidR="00F8322F">
        <w:t xml:space="preserve"> by auditors or </w:t>
      </w:r>
      <w:proofErr w:type="spellStart"/>
      <w:r w:rsidR="00F8322F">
        <w:t>TCorp</w:t>
      </w:r>
      <w:proofErr w:type="spellEnd"/>
      <w:r w:rsidR="00F8322F">
        <w:t>.</w:t>
      </w:r>
    </w:p>
    <w:p w:rsidR="00633B46" w:rsidRDefault="00711455" w:rsidP="00C92A8A">
      <w:pPr>
        <w:pStyle w:val="BodyText"/>
      </w:pPr>
      <w:r>
        <w:t>Explain the council’s view of its financial sustainability as it relates to the application for a special variation.</w:t>
      </w:r>
    </w:p>
    <w:p w:rsidR="00E96D88" w:rsidRDefault="00E96D88" w:rsidP="008D7C80">
      <w:pPr>
        <w:rPr>
          <w:rFonts w:asciiTheme="minorHAnsi" w:hAnsiTheme="minorHAnsi"/>
          <w:b/>
          <w:color w:val="1F497D" w:themeColor="text2"/>
          <w:sz w:val="22"/>
          <w:szCs w:val="22"/>
        </w:rPr>
      </w:pPr>
    </w:p>
    <w:p w:rsidR="008D7C80" w:rsidRPr="00B51289" w:rsidRDefault="008D7C80" w:rsidP="008D7C80">
      <w:pPr>
        <w:rPr>
          <w:rFonts w:asciiTheme="minorHAnsi" w:hAnsiTheme="minorHAnsi"/>
          <w:b/>
          <w:color w:val="1F497D" w:themeColor="text2"/>
          <w:sz w:val="22"/>
          <w:szCs w:val="22"/>
        </w:rPr>
      </w:pPr>
      <w:r w:rsidRPr="00B51289">
        <w:rPr>
          <w:rFonts w:asciiTheme="minorHAnsi" w:hAnsiTheme="minorHAnsi"/>
          <w:b/>
          <w:color w:val="1F497D" w:themeColor="text2"/>
          <w:sz w:val="22"/>
          <w:szCs w:val="22"/>
        </w:rPr>
        <w:t>Response:</w:t>
      </w:r>
    </w:p>
    <w:p w:rsidR="009C3B00" w:rsidRDefault="008D7C80" w:rsidP="008D7C80">
      <w:pPr>
        <w:pStyle w:val="BodyText"/>
        <w:spacing w:before="0"/>
        <w:rPr>
          <w:rFonts w:asciiTheme="minorHAnsi" w:hAnsiTheme="minorHAnsi"/>
          <w:color w:val="1F497D" w:themeColor="text2"/>
          <w:sz w:val="22"/>
          <w:szCs w:val="22"/>
        </w:rPr>
      </w:pPr>
      <w:r w:rsidRPr="00B51289">
        <w:rPr>
          <w:rFonts w:asciiTheme="minorHAnsi" w:hAnsiTheme="minorHAnsi"/>
          <w:color w:val="1F497D" w:themeColor="text2"/>
          <w:sz w:val="22"/>
          <w:szCs w:val="22"/>
        </w:rPr>
        <w:t xml:space="preserve">Council </w:t>
      </w:r>
      <w:r w:rsidR="00B51289" w:rsidRPr="00B51289">
        <w:rPr>
          <w:rFonts w:asciiTheme="minorHAnsi" w:hAnsiTheme="minorHAnsi"/>
          <w:color w:val="1F497D" w:themeColor="text2"/>
          <w:sz w:val="22"/>
          <w:szCs w:val="22"/>
        </w:rPr>
        <w:t>is</w:t>
      </w:r>
      <w:r w:rsidR="00B51289">
        <w:rPr>
          <w:rFonts w:asciiTheme="minorHAnsi" w:hAnsiTheme="minorHAnsi"/>
          <w:color w:val="1F497D" w:themeColor="text2"/>
          <w:sz w:val="22"/>
          <w:szCs w:val="22"/>
        </w:rPr>
        <w:t xml:space="preserve"> of the view that to sustain assets and deliver services into the future to the expectations of the community it requires a special variation.</w:t>
      </w:r>
      <w:r w:rsidR="009C3B00">
        <w:rPr>
          <w:rFonts w:asciiTheme="minorHAnsi" w:hAnsiTheme="minorHAnsi"/>
          <w:color w:val="1F497D" w:themeColor="text2"/>
          <w:sz w:val="22"/>
          <w:szCs w:val="22"/>
        </w:rPr>
        <w:t xml:space="preserve"> To achieve this Council has embarked on a strategy to financial sustainability. This special variation is part of a long term strategy toward this outcome.</w:t>
      </w:r>
    </w:p>
    <w:p w:rsidR="00B51289" w:rsidRDefault="00B51289" w:rsidP="008D7C80">
      <w:pPr>
        <w:pStyle w:val="BodyText"/>
        <w:spacing w:before="0"/>
        <w:rPr>
          <w:rFonts w:asciiTheme="minorHAnsi" w:hAnsiTheme="minorHAnsi"/>
          <w:color w:val="1F497D" w:themeColor="text2"/>
          <w:sz w:val="22"/>
          <w:szCs w:val="22"/>
        </w:rPr>
      </w:pPr>
    </w:p>
    <w:p w:rsidR="00B51289" w:rsidRPr="00097ABA" w:rsidRDefault="00B51289" w:rsidP="00B51289">
      <w:pPr>
        <w:autoSpaceDE w:val="0"/>
        <w:autoSpaceDN w:val="0"/>
        <w:adjustRightInd w:val="0"/>
        <w:rPr>
          <w:rFonts w:asciiTheme="minorHAnsi" w:hAnsiTheme="minorHAnsi" w:cs="Arial"/>
          <w:color w:val="1F497D" w:themeColor="text2"/>
          <w:sz w:val="22"/>
          <w:szCs w:val="22"/>
        </w:rPr>
      </w:pPr>
      <w:r w:rsidRPr="00097ABA">
        <w:rPr>
          <w:rFonts w:asciiTheme="minorHAnsi" w:hAnsiTheme="minorHAnsi" w:cs="Arial"/>
          <w:color w:val="1F497D" w:themeColor="text2"/>
          <w:sz w:val="22"/>
          <w:szCs w:val="22"/>
        </w:rPr>
        <w:t>The strategy seeks to ensure that Council lives within its means while stating the need to develop actions in consultation with its community to move towards sufficient infrastructure works (maintenance and renewal) to ensure that service levels do not diminish and intergenerational equity is maintained. The strategy also seeks to ensure that Council has sufficient cash flows to remain financially sustainable over the life of the Long Term Financial Plan.</w:t>
      </w:r>
    </w:p>
    <w:p w:rsidR="00B51289" w:rsidRDefault="00B51289" w:rsidP="008D7C80">
      <w:pPr>
        <w:pStyle w:val="BodyText"/>
        <w:spacing w:before="0"/>
        <w:rPr>
          <w:rFonts w:asciiTheme="minorHAnsi" w:hAnsiTheme="minorHAnsi"/>
          <w:color w:val="1F497D" w:themeColor="text2"/>
          <w:sz w:val="22"/>
          <w:szCs w:val="22"/>
        </w:rPr>
      </w:pPr>
    </w:p>
    <w:p w:rsidR="00B51289" w:rsidRPr="00097ABA" w:rsidRDefault="00B51289" w:rsidP="00B51289">
      <w:pPr>
        <w:autoSpaceDE w:val="0"/>
        <w:autoSpaceDN w:val="0"/>
        <w:adjustRightInd w:val="0"/>
        <w:rPr>
          <w:rFonts w:asciiTheme="minorHAnsi" w:hAnsiTheme="minorHAnsi" w:cs="Arial"/>
          <w:color w:val="1F497D" w:themeColor="text2"/>
          <w:sz w:val="22"/>
          <w:szCs w:val="22"/>
        </w:rPr>
      </w:pPr>
      <w:r w:rsidRPr="00097ABA">
        <w:rPr>
          <w:rFonts w:asciiTheme="minorHAnsi" w:hAnsiTheme="minorHAnsi" w:cs="Arial"/>
          <w:color w:val="1F497D" w:themeColor="text2"/>
          <w:sz w:val="22"/>
          <w:szCs w:val="22"/>
        </w:rPr>
        <w:t>Financial Sustainability is a key focus for local government reform. Council has recognised the need to address our long term financial outlook through implementing a number of measures in the past, including a Financial Sustainability Strategy. Actions in addition to our savings program are needed to achieve long term financial sustainability</w:t>
      </w:r>
      <w:r w:rsidR="00B317B5">
        <w:rPr>
          <w:rFonts w:asciiTheme="minorHAnsi" w:hAnsiTheme="minorHAnsi" w:cs="Arial"/>
          <w:color w:val="1F497D" w:themeColor="text2"/>
          <w:sz w:val="22"/>
          <w:szCs w:val="22"/>
        </w:rPr>
        <w:t xml:space="preserve"> and</w:t>
      </w:r>
      <w:r w:rsidRPr="00097ABA">
        <w:rPr>
          <w:rFonts w:asciiTheme="minorHAnsi" w:hAnsiTheme="minorHAnsi" w:cs="Arial"/>
          <w:color w:val="1F497D" w:themeColor="text2"/>
          <w:sz w:val="22"/>
          <w:szCs w:val="22"/>
        </w:rPr>
        <w:t xml:space="preserve"> to ensure that the standard of Councils public assets are fit for purpose over the medium to long term. </w:t>
      </w:r>
    </w:p>
    <w:p w:rsidR="00B51289" w:rsidRPr="00097ABA" w:rsidRDefault="00B51289" w:rsidP="00B51289">
      <w:pPr>
        <w:autoSpaceDE w:val="0"/>
        <w:autoSpaceDN w:val="0"/>
        <w:adjustRightInd w:val="0"/>
        <w:rPr>
          <w:rFonts w:asciiTheme="minorHAnsi" w:hAnsiTheme="minorHAnsi" w:cs="Arial"/>
          <w:color w:val="1F497D" w:themeColor="text2"/>
          <w:sz w:val="22"/>
          <w:szCs w:val="22"/>
        </w:rPr>
      </w:pPr>
    </w:p>
    <w:p w:rsidR="00B51289" w:rsidRPr="00097ABA" w:rsidRDefault="00B51289" w:rsidP="00B51289">
      <w:pPr>
        <w:autoSpaceDE w:val="0"/>
        <w:autoSpaceDN w:val="0"/>
        <w:adjustRightInd w:val="0"/>
        <w:rPr>
          <w:rFonts w:asciiTheme="minorHAnsi" w:hAnsiTheme="minorHAnsi" w:cs="Arial"/>
          <w:color w:val="1F497D" w:themeColor="text2"/>
          <w:sz w:val="22"/>
          <w:szCs w:val="22"/>
        </w:rPr>
      </w:pPr>
      <w:r w:rsidRPr="00097ABA">
        <w:rPr>
          <w:rFonts w:asciiTheme="minorHAnsi" w:hAnsiTheme="minorHAnsi" w:cs="Arial"/>
          <w:color w:val="1F497D" w:themeColor="text2"/>
          <w:sz w:val="22"/>
          <w:szCs w:val="22"/>
        </w:rPr>
        <w:lastRenderedPageBreak/>
        <w:t xml:space="preserve">Council has sought to address this challenge in the short term with an approach that balances community affordability with financial sustainability for service delivery and maintenance of community assets. </w:t>
      </w:r>
      <w:r w:rsidR="009C3B00">
        <w:rPr>
          <w:rFonts w:asciiTheme="minorHAnsi" w:hAnsiTheme="minorHAnsi" w:cs="Arial"/>
          <w:color w:val="1F497D" w:themeColor="text2"/>
          <w:sz w:val="22"/>
          <w:szCs w:val="22"/>
        </w:rPr>
        <w:t xml:space="preserve">The </w:t>
      </w:r>
      <w:r w:rsidRPr="00097ABA">
        <w:rPr>
          <w:rFonts w:asciiTheme="minorHAnsi" w:hAnsiTheme="minorHAnsi" w:cs="Arial"/>
          <w:color w:val="1F497D" w:themeColor="text2"/>
          <w:sz w:val="22"/>
          <w:szCs w:val="22"/>
        </w:rPr>
        <w:t>2 year permanent Special Rate Variation of 6% across all rate categories, excluding existing special rate variations in place</w:t>
      </w:r>
      <w:r w:rsidR="009C3B00">
        <w:rPr>
          <w:rFonts w:asciiTheme="minorHAnsi" w:hAnsiTheme="minorHAnsi" w:cs="Arial"/>
          <w:color w:val="1F497D" w:themeColor="text2"/>
          <w:sz w:val="22"/>
          <w:szCs w:val="22"/>
        </w:rPr>
        <w:t xml:space="preserve"> </w:t>
      </w:r>
      <w:r w:rsidR="00B317B5">
        <w:rPr>
          <w:rFonts w:asciiTheme="minorHAnsi" w:hAnsiTheme="minorHAnsi" w:cs="Arial"/>
          <w:color w:val="1F497D" w:themeColor="text2"/>
          <w:sz w:val="22"/>
          <w:szCs w:val="22"/>
        </w:rPr>
        <w:t xml:space="preserve">(or in real terms – Year 1: 4.69% and Year 2: 5.11%) </w:t>
      </w:r>
      <w:r w:rsidRPr="00097ABA">
        <w:rPr>
          <w:rFonts w:asciiTheme="minorHAnsi" w:hAnsiTheme="minorHAnsi" w:cs="Arial"/>
          <w:color w:val="1F497D" w:themeColor="text2"/>
          <w:sz w:val="22"/>
          <w:szCs w:val="22"/>
        </w:rPr>
        <w:t>will assist Council to ramp up its asset renewal programs with a view to addressing the funding gap and provide for village enhancement.</w:t>
      </w:r>
    </w:p>
    <w:p w:rsidR="00B51289" w:rsidRPr="00097ABA" w:rsidRDefault="00B51289" w:rsidP="00B51289">
      <w:pPr>
        <w:autoSpaceDE w:val="0"/>
        <w:autoSpaceDN w:val="0"/>
        <w:adjustRightInd w:val="0"/>
        <w:rPr>
          <w:rFonts w:asciiTheme="minorHAnsi" w:hAnsiTheme="minorHAnsi" w:cs="Arial"/>
          <w:color w:val="1F497D" w:themeColor="text2"/>
          <w:sz w:val="22"/>
          <w:szCs w:val="22"/>
        </w:rPr>
      </w:pPr>
    </w:p>
    <w:p w:rsidR="00B51289" w:rsidRPr="00097ABA" w:rsidRDefault="00B51289" w:rsidP="00B51289">
      <w:pPr>
        <w:autoSpaceDE w:val="0"/>
        <w:autoSpaceDN w:val="0"/>
        <w:adjustRightInd w:val="0"/>
        <w:rPr>
          <w:rFonts w:asciiTheme="minorHAnsi" w:hAnsiTheme="minorHAnsi" w:cs="Arial"/>
          <w:color w:val="1F497D" w:themeColor="text2"/>
          <w:sz w:val="22"/>
          <w:szCs w:val="22"/>
        </w:rPr>
      </w:pPr>
      <w:r w:rsidRPr="00097ABA">
        <w:rPr>
          <w:rFonts w:asciiTheme="minorHAnsi" w:hAnsiTheme="minorHAnsi" w:cs="Arial"/>
          <w:color w:val="1F497D" w:themeColor="text2"/>
          <w:sz w:val="22"/>
          <w:szCs w:val="22"/>
        </w:rPr>
        <w:t>Council will also seek to commence work on the next phase of its path to financial sustainability with a community engagement program consulting the community on funding and services in the medium to long term.</w:t>
      </w:r>
    </w:p>
    <w:p w:rsidR="00E815A0" w:rsidRDefault="00F8322F" w:rsidP="00C92A8A">
      <w:pPr>
        <w:pStyle w:val="BodyText"/>
      </w:pPr>
      <w:r>
        <w:t>Explain h</w:t>
      </w:r>
      <w:r w:rsidR="00ED62ED">
        <w:t>ow</w:t>
      </w:r>
      <w:r>
        <w:t xml:space="preserve"> </w:t>
      </w:r>
      <w:proofErr w:type="spellStart"/>
      <w:r>
        <w:t>TCorp’s</w:t>
      </w:r>
      <w:proofErr w:type="spellEnd"/>
      <w:r>
        <w:t xml:space="preserve"> recent </w:t>
      </w:r>
      <w:r w:rsidR="00E815A0">
        <w:t xml:space="preserve">Report </w:t>
      </w:r>
      <w:r w:rsidR="008E73E3">
        <w:t xml:space="preserve">on the council’s financial sustainability </w:t>
      </w:r>
      <w:r w:rsidR="00711455">
        <w:t xml:space="preserve">is relevant in </w:t>
      </w:r>
      <w:r w:rsidRPr="00385582">
        <w:t>support</w:t>
      </w:r>
      <w:r w:rsidR="00711455" w:rsidRPr="00385582">
        <w:t xml:space="preserve">ing </w:t>
      </w:r>
      <w:r w:rsidR="00711455">
        <w:t>the decision to apply for a</w:t>
      </w:r>
      <w:r w:rsidR="00E815A0">
        <w:t xml:space="preserve"> speci</w:t>
      </w:r>
      <w:r w:rsidR="00E11912">
        <w:t>al variation.</w:t>
      </w:r>
    </w:p>
    <w:p w:rsidR="00E96D88" w:rsidRDefault="00E96D88" w:rsidP="008D7C80">
      <w:pPr>
        <w:rPr>
          <w:rFonts w:asciiTheme="minorHAnsi" w:hAnsiTheme="minorHAnsi"/>
          <w:b/>
          <w:color w:val="1F497D" w:themeColor="text2"/>
          <w:sz w:val="22"/>
          <w:szCs w:val="22"/>
        </w:rPr>
      </w:pPr>
    </w:p>
    <w:p w:rsidR="008D7C80" w:rsidRPr="008D7C80" w:rsidRDefault="008D7C80" w:rsidP="008D7C80">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6C0D51" w:rsidRDefault="006C0D51" w:rsidP="008D7C80">
      <w:pPr>
        <w:pStyle w:val="BodyText"/>
        <w:spacing w:before="0"/>
        <w:rPr>
          <w:rFonts w:asciiTheme="minorHAnsi" w:hAnsiTheme="minorHAnsi"/>
          <w:color w:val="1F497D" w:themeColor="text2"/>
          <w:sz w:val="22"/>
          <w:szCs w:val="22"/>
        </w:rPr>
      </w:pPr>
      <w:proofErr w:type="spellStart"/>
      <w:r>
        <w:rPr>
          <w:rFonts w:asciiTheme="minorHAnsi" w:hAnsiTheme="minorHAnsi"/>
          <w:color w:val="1F497D" w:themeColor="text2"/>
          <w:sz w:val="22"/>
          <w:szCs w:val="22"/>
        </w:rPr>
        <w:t>TCorp</w:t>
      </w:r>
      <w:proofErr w:type="spellEnd"/>
      <w:r>
        <w:rPr>
          <w:rFonts w:asciiTheme="minorHAnsi" w:hAnsiTheme="minorHAnsi"/>
          <w:color w:val="1F497D" w:themeColor="text2"/>
          <w:sz w:val="22"/>
          <w:szCs w:val="22"/>
        </w:rPr>
        <w:t xml:space="preserve"> undertook an assessment of Council</w:t>
      </w:r>
      <w:r w:rsidR="005C2DB7">
        <w:rPr>
          <w:rFonts w:asciiTheme="minorHAnsi" w:hAnsiTheme="minorHAnsi"/>
          <w:color w:val="1F497D" w:themeColor="text2"/>
          <w:sz w:val="22"/>
          <w:szCs w:val="22"/>
        </w:rPr>
        <w:t xml:space="preserve"> in 2012/13</w:t>
      </w:r>
      <w:r>
        <w:rPr>
          <w:rFonts w:asciiTheme="minorHAnsi" w:hAnsiTheme="minorHAnsi"/>
          <w:color w:val="1F497D" w:themeColor="text2"/>
          <w:sz w:val="22"/>
          <w:szCs w:val="22"/>
        </w:rPr>
        <w:t xml:space="preserve"> as part</w:t>
      </w:r>
      <w:r w:rsidR="005C2DB7">
        <w:rPr>
          <w:rFonts w:asciiTheme="minorHAnsi" w:hAnsiTheme="minorHAnsi"/>
          <w:color w:val="1F497D" w:themeColor="text2"/>
          <w:sz w:val="22"/>
          <w:szCs w:val="22"/>
        </w:rPr>
        <w:t xml:space="preserve"> of</w:t>
      </w:r>
      <w:r>
        <w:rPr>
          <w:rFonts w:asciiTheme="minorHAnsi" w:hAnsiTheme="minorHAnsi"/>
          <w:color w:val="1F497D" w:themeColor="text2"/>
          <w:sz w:val="22"/>
          <w:szCs w:val="22"/>
        </w:rPr>
        <w:t xml:space="preserve"> the review </w:t>
      </w:r>
      <w:r w:rsidR="005C2DB7">
        <w:rPr>
          <w:rFonts w:asciiTheme="minorHAnsi" w:hAnsiTheme="minorHAnsi"/>
          <w:color w:val="1F497D" w:themeColor="text2"/>
          <w:sz w:val="22"/>
          <w:szCs w:val="22"/>
        </w:rPr>
        <w:t xml:space="preserve">of </w:t>
      </w:r>
      <w:r>
        <w:rPr>
          <w:rFonts w:asciiTheme="minorHAnsi" w:hAnsiTheme="minorHAnsi"/>
          <w:color w:val="1F497D" w:themeColor="text2"/>
          <w:sz w:val="22"/>
          <w:szCs w:val="22"/>
        </w:rPr>
        <w:t xml:space="preserve">all NSW Councils instigated by the Division of Local </w:t>
      </w:r>
      <w:r w:rsidR="00B317B5">
        <w:rPr>
          <w:rFonts w:asciiTheme="minorHAnsi" w:hAnsiTheme="minorHAnsi"/>
          <w:color w:val="1F497D" w:themeColor="text2"/>
          <w:sz w:val="22"/>
          <w:szCs w:val="22"/>
        </w:rPr>
        <w:t>G</w:t>
      </w:r>
      <w:r w:rsidR="00421A11">
        <w:rPr>
          <w:rFonts w:asciiTheme="minorHAnsi" w:hAnsiTheme="minorHAnsi"/>
          <w:color w:val="1F497D" w:themeColor="text2"/>
          <w:sz w:val="22"/>
          <w:szCs w:val="22"/>
        </w:rPr>
        <w:t>overnment to assist the Local G</w:t>
      </w:r>
      <w:r>
        <w:rPr>
          <w:rFonts w:asciiTheme="minorHAnsi" w:hAnsiTheme="minorHAnsi"/>
          <w:color w:val="1F497D" w:themeColor="text2"/>
          <w:sz w:val="22"/>
          <w:szCs w:val="22"/>
        </w:rPr>
        <w:t>overnment Review Panel. The outcome from this resulted in Council being assessed as:</w:t>
      </w:r>
    </w:p>
    <w:p w:rsidR="006C0D51" w:rsidRDefault="006C0D51" w:rsidP="00316A5C">
      <w:pPr>
        <w:pStyle w:val="BodyText"/>
        <w:numPr>
          <w:ilvl w:val="0"/>
          <w:numId w:val="34"/>
        </w:numPr>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Financial Sustainability Rating (FSR): </w:t>
      </w:r>
      <w:r>
        <w:rPr>
          <w:rFonts w:asciiTheme="minorHAnsi" w:hAnsiTheme="minorHAnsi"/>
          <w:color w:val="1F497D" w:themeColor="text2"/>
          <w:sz w:val="22"/>
          <w:szCs w:val="22"/>
        </w:rPr>
        <w:tab/>
        <w:t xml:space="preserve"> Moderate</w:t>
      </w:r>
    </w:p>
    <w:p w:rsidR="006C0D51" w:rsidRDefault="006C0D51" w:rsidP="00316A5C">
      <w:pPr>
        <w:pStyle w:val="BodyText"/>
        <w:numPr>
          <w:ilvl w:val="0"/>
          <w:numId w:val="34"/>
        </w:numPr>
        <w:spacing w:before="0"/>
        <w:rPr>
          <w:rFonts w:asciiTheme="minorHAnsi" w:hAnsiTheme="minorHAnsi"/>
          <w:color w:val="1F497D" w:themeColor="text2"/>
          <w:sz w:val="22"/>
          <w:szCs w:val="22"/>
        </w:rPr>
      </w:pPr>
      <w:r>
        <w:rPr>
          <w:rFonts w:asciiTheme="minorHAnsi" w:hAnsiTheme="minorHAnsi"/>
          <w:color w:val="1F497D" w:themeColor="text2"/>
          <w:sz w:val="22"/>
          <w:szCs w:val="22"/>
        </w:rPr>
        <w:t>Outlook:</w:t>
      </w:r>
      <w:r>
        <w:rPr>
          <w:rFonts w:asciiTheme="minorHAnsi" w:hAnsiTheme="minorHAnsi"/>
          <w:color w:val="1F497D" w:themeColor="text2"/>
          <w:sz w:val="22"/>
          <w:szCs w:val="22"/>
        </w:rPr>
        <w:tab/>
        <w:t>Negative</w:t>
      </w:r>
    </w:p>
    <w:p w:rsidR="005C2DB7" w:rsidRDefault="005C2DB7" w:rsidP="008D7C80">
      <w:pPr>
        <w:pStyle w:val="BodyText"/>
        <w:spacing w:before="0"/>
        <w:rPr>
          <w:rFonts w:asciiTheme="minorHAnsi" w:hAnsiTheme="minorHAnsi"/>
          <w:color w:val="1F497D" w:themeColor="text2"/>
          <w:sz w:val="22"/>
          <w:szCs w:val="22"/>
        </w:rPr>
      </w:pPr>
    </w:p>
    <w:p w:rsidR="00071781" w:rsidRDefault="005C2DB7"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This assessment reinforces Council’s challenge in funding future services</w:t>
      </w:r>
      <w:r w:rsidR="00A95043">
        <w:rPr>
          <w:rFonts w:asciiTheme="minorHAnsi" w:hAnsiTheme="minorHAnsi"/>
          <w:color w:val="1F497D" w:themeColor="text2"/>
          <w:sz w:val="22"/>
          <w:szCs w:val="22"/>
        </w:rPr>
        <w:t xml:space="preserve">. </w:t>
      </w:r>
    </w:p>
    <w:p w:rsidR="00071781" w:rsidRDefault="00071781" w:rsidP="008D7C80">
      <w:pPr>
        <w:pStyle w:val="BodyText"/>
        <w:spacing w:before="0"/>
        <w:rPr>
          <w:rFonts w:asciiTheme="minorHAnsi" w:hAnsiTheme="minorHAnsi"/>
          <w:color w:val="1F497D" w:themeColor="text2"/>
          <w:sz w:val="22"/>
          <w:szCs w:val="22"/>
        </w:rPr>
      </w:pPr>
    </w:p>
    <w:p w:rsidR="00A95043" w:rsidRDefault="00071781"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In its Financial and Benchmarking Report prepared as part of the Local Infrastructure Renewal Scheme (March 2013) </w:t>
      </w:r>
      <w:proofErr w:type="spellStart"/>
      <w:r>
        <w:rPr>
          <w:rFonts w:asciiTheme="minorHAnsi" w:hAnsiTheme="minorHAnsi"/>
          <w:color w:val="1F497D" w:themeColor="text2"/>
          <w:sz w:val="22"/>
          <w:szCs w:val="22"/>
        </w:rPr>
        <w:t>TCorp</w:t>
      </w:r>
      <w:proofErr w:type="spellEnd"/>
      <w:r>
        <w:rPr>
          <w:rFonts w:asciiTheme="minorHAnsi" w:hAnsiTheme="minorHAnsi"/>
          <w:color w:val="1F497D" w:themeColor="text2"/>
          <w:sz w:val="22"/>
          <w:szCs w:val="22"/>
        </w:rPr>
        <w:t xml:space="preserve"> states the following:</w:t>
      </w:r>
    </w:p>
    <w:p w:rsidR="00A95043" w:rsidRDefault="00A95043" w:rsidP="008D7C80">
      <w:pPr>
        <w:pStyle w:val="BodyText"/>
        <w:spacing w:before="0"/>
        <w:rPr>
          <w:rFonts w:asciiTheme="minorHAnsi" w:hAnsiTheme="minorHAnsi"/>
          <w:color w:val="1F497D" w:themeColor="text2"/>
          <w:sz w:val="22"/>
          <w:szCs w:val="22"/>
        </w:rPr>
      </w:pPr>
    </w:p>
    <w:p w:rsidR="00A95043" w:rsidRPr="00071781" w:rsidRDefault="00A95043" w:rsidP="00A95043">
      <w:pPr>
        <w:rPr>
          <w:rFonts w:asciiTheme="minorHAnsi" w:hAnsiTheme="minorHAnsi"/>
          <w:i/>
          <w:color w:val="1F497D" w:themeColor="text2"/>
          <w:sz w:val="22"/>
          <w:szCs w:val="22"/>
        </w:rPr>
      </w:pPr>
      <w:r w:rsidRPr="00071781">
        <w:rPr>
          <w:rFonts w:asciiTheme="minorHAnsi" w:hAnsiTheme="minorHAnsi"/>
          <w:i/>
          <w:color w:val="1F497D" w:themeColor="text2"/>
          <w:sz w:val="22"/>
          <w:szCs w:val="22"/>
        </w:rPr>
        <w:t>The Council has been well managed over the review period based on the following observations:</w:t>
      </w:r>
    </w:p>
    <w:p w:rsidR="00A95043" w:rsidRPr="00071781" w:rsidRDefault="00A95043" w:rsidP="00316A5C">
      <w:pPr>
        <w:pStyle w:val="ListParagraph"/>
        <w:numPr>
          <w:ilvl w:val="0"/>
          <w:numId w:val="35"/>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Council’s underlying operating performance, measured by EBITDA, shows consistent, albeit small positive results over the period</w:t>
      </w:r>
    </w:p>
    <w:p w:rsidR="00A95043" w:rsidRPr="00071781" w:rsidRDefault="00A95043" w:rsidP="00316A5C">
      <w:pPr>
        <w:pStyle w:val="ListParagraph"/>
        <w:numPr>
          <w:ilvl w:val="0"/>
          <w:numId w:val="35"/>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 has been able to maintain expenses at a similar level across the three years when depreciation is excluded</w:t>
      </w:r>
    </w:p>
    <w:p w:rsidR="00A95043" w:rsidRPr="00071781" w:rsidRDefault="00A95043" w:rsidP="00316A5C">
      <w:pPr>
        <w:pStyle w:val="ListParagraph"/>
        <w:numPr>
          <w:ilvl w:val="0"/>
          <w:numId w:val="35"/>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 has had sound liquidity indicated by a strong Unrestricted Current Ratio</w:t>
      </w:r>
    </w:p>
    <w:p w:rsidR="00A95043" w:rsidRPr="00071781" w:rsidRDefault="00A95043" w:rsidP="00316A5C">
      <w:pPr>
        <w:pStyle w:val="ListParagraph"/>
        <w:numPr>
          <w:ilvl w:val="0"/>
          <w:numId w:val="35"/>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 has a conservative debt management policy that has enabled them to manage their borrowing commitments sufficiently</w:t>
      </w:r>
    </w:p>
    <w:p w:rsidR="00A95043" w:rsidRPr="00071781" w:rsidRDefault="00A95043" w:rsidP="00A95043">
      <w:pPr>
        <w:rPr>
          <w:rFonts w:asciiTheme="minorHAnsi" w:hAnsiTheme="minorHAnsi"/>
          <w:i/>
          <w:color w:val="1F497D" w:themeColor="text2"/>
          <w:sz w:val="22"/>
          <w:szCs w:val="22"/>
        </w:rPr>
      </w:pPr>
    </w:p>
    <w:p w:rsidR="00A95043" w:rsidRPr="00071781" w:rsidRDefault="00A95043" w:rsidP="00A95043">
      <w:p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Council’s reported Infrastructure Backlog of $24.3m in 2011 represents 15.2% of its infrastructure asset value of $159.6m.  Other observations include:</w:t>
      </w:r>
    </w:p>
    <w:p w:rsidR="00A95043" w:rsidRPr="00071781" w:rsidRDefault="00A95043" w:rsidP="00316A5C">
      <w:pPr>
        <w:pStyle w:val="ListParagraph"/>
        <w:numPr>
          <w:ilvl w:val="0"/>
          <w:numId w:val="36"/>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The Infrastructure Backlog total has increased by 110.0% compared to the 2010 figure of $11.6m following the Asset Revaluations, improvement of Council’s Asset Management Plan and analysis of their infrastructure asset condition status</w:t>
      </w:r>
    </w:p>
    <w:p w:rsidR="00A95043" w:rsidRPr="00071781" w:rsidRDefault="00A95043" w:rsidP="00316A5C">
      <w:pPr>
        <w:pStyle w:val="ListParagraph"/>
        <w:numPr>
          <w:ilvl w:val="0"/>
          <w:numId w:val="36"/>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 has been unable to reach the benchmark in all three years in relation to the Asset Maintenance, Building and Infrastructure Renewals and Capital Expenditure Ratios. If the current level of spending continues the Infrastructure Backlog is likely to increase further.</w:t>
      </w:r>
    </w:p>
    <w:p w:rsidR="00A95043" w:rsidRPr="00071781" w:rsidRDefault="00A95043" w:rsidP="00A95043">
      <w:pPr>
        <w:rPr>
          <w:rFonts w:asciiTheme="minorHAnsi" w:hAnsiTheme="minorHAnsi"/>
          <w:i/>
          <w:color w:val="1F497D" w:themeColor="text2"/>
          <w:sz w:val="22"/>
          <w:szCs w:val="22"/>
        </w:rPr>
      </w:pPr>
    </w:p>
    <w:p w:rsidR="00A95043" w:rsidRPr="00071781" w:rsidRDefault="00A95043" w:rsidP="00A95043">
      <w:pPr>
        <w:rPr>
          <w:rFonts w:asciiTheme="minorHAnsi" w:hAnsiTheme="minorHAnsi"/>
          <w:i/>
          <w:color w:val="1F497D" w:themeColor="text2"/>
          <w:sz w:val="22"/>
          <w:szCs w:val="22"/>
        </w:rPr>
      </w:pPr>
      <w:r w:rsidRPr="00071781">
        <w:rPr>
          <w:rFonts w:asciiTheme="minorHAnsi" w:hAnsiTheme="minorHAnsi"/>
          <w:i/>
          <w:color w:val="1F497D" w:themeColor="text2"/>
          <w:sz w:val="22"/>
          <w:szCs w:val="22"/>
        </w:rPr>
        <w:t>The key observations from our review of Council’s 10 year forecasts for its General Fund under the ‘Mining SRV model scenario’ are:</w:t>
      </w:r>
    </w:p>
    <w:p w:rsidR="00A95043" w:rsidRPr="00071781" w:rsidRDefault="00A95043" w:rsidP="00316A5C">
      <w:pPr>
        <w:pStyle w:val="ListParagraph"/>
        <w:numPr>
          <w:ilvl w:val="0"/>
          <w:numId w:val="37"/>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Operating deficits are expected in all 10 years under the scenario despite the mining SRV permanently boosting rates revenue from 2013</w:t>
      </w:r>
    </w:p>
    <w:p w:rsidR="00A95043" w:rsidRPr="00071781" w:rsidRDefault="00A95043" w:rsidP="00316A5C">
      <w:pPr>
        <w:pStyle w:val="ListParagraph"/>
        <w:numPr>
          <w:ilvl w:val="0"/>
          <w:numId w:val="37"/>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Overall, Council’s level of fiscal flexibility is satisfactory as Own Sourced Operating Revenue Ratio is maintained at levels above 60%</w:t>
      </w:r>
      <w:r w:rsidR="00421A11">
        <w:rPr>
          <w:rFonts w:asciiTheme="minorHAnsi" w:hAnsiTheme="minorHAnsi"/>
          <w:i/>
          <w:color w:val="1F497D" w:themeColor="text2"/>
          <w:sz w:val="22"/>
          <w:szCs w:val="22"/>
        </w:rPr>
        <w:t xml:space="preserve"> </w:t>
      </w:r>
      <w:r w:rsidRPr="00071781">
        <w:rPr>
          <w:rFonts w:asciiTheme="minorHAnsi" w:hAnsiTheme="minorHAnsi"/>
          <w:i/>
          <w:color w:val="1F497D" w:themeColor="text2"/>
          <w:sz w:val="22"/>
          <w:szCs w:val="22"/>
        </w:rPr>
        <w:t>for the majority of the forecast</w:t>
      </w:r>
    </w:p>
    <w:p w:rsidR="00A95043" w:rsidRPr="00071781" w:rsidRDefault="00A95043" w:rsidP="00A95043">
      <w:pPr>
        <w:rPr>
          <w:rFonts w:asciiTheme="minorHAnsi" w:hAnsiTheme="minorHAnsi"/>
          <w:i/>
          <w:color w:val="1F497D" w:themeColor="text2"/>
          <w:sz w:val="22"/>
          <w:szCs w:val="22"/>
        </w:rPr>
      </w:pPr>
    </w:p>
    <w:p w:rsidR="00A95043" w:rsidRPr="00071781" w:rsidRDefault="00A95043" w:rsidP="00A95043">
      <w:pPr>
        <w:rPr>
          <w:rFonts w:asciiTheme="minorHAnsi" w:hAnsiTheme="minorHAnsi"/>
          <w:i/>
          <w:color w:val="1F497D" w:themeColor="text2"/>
          <w:sz w:val="22"/>
          <w:szCs w:val="22"/>
        </w:rPr>
      </w:pPr>
      <w:r w:rsidRPr="00071781">
        <w:rPr>
          <w:rFonts w:asciiTheme="minorHAnsi" w:hAnsiTheme="minorHAnsi"/>
          <w:i/>
          <w:color w:val="1F497D" w:themeColor="text2"/>
          <w:sz w:val="22"/>
          <w:szCs w:val="22"/>
        </w:rPr>
        <w:lastRenderedPageBreak/>
        <w:t>In our view, the Council has the capacity to undertake the combined additional borrowings of $1.0m for the LIRS project.  This is based on the following analysis:</w:t>
      </w:r>
    </w:p>
    <w:p w:rsidR="00A95043" w:rsidRPr="00071781" w:rsidRDefault="00A95043" w:rsidP="00316A5C">
      <w:pPr>
        <w:pStyle w:val="ListParagraph"/>
        <w:numPr>
          <w:ilvl w:val="0"/>
          <w:numId w:val="38"/>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 xml:space="preserve">Council is aware that they need to apply for an SRV to increase ordinary rates revenue if they are to complete the scheduled capital expenditure program </w:t>
      </w:r>
    </w:p>
    <w:p w:rsidR="00A95043" w:rsidRPr="00071781" w:rsidRDefault="00A95043" w:rsidP="00316A5C">
      <w:pPr>
        <w:pStyle w:val="ListParagraph"/>
        <w:numPr>
          <w:ilvl w:val="0"/>
          <w:numId w:val="38"/>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 xml:space="preserve">If Council is unsuccessful in their SRV application they will need to revise their LTFP as indicated in our alternative scenario (see section 4 for details) to improve their liquidity position. This will also involve amending the operating plan and delivery program so that the planned service delivery and capital expenditure is deferred or revised in order to reduce the budget so that Council is able to </w:t>
      </w:r>
      <w:r w:rsidR="00B317B5">
        <w:rPr>
          <w:rFonts w:asciiTheme="minorHAnsi" w:hAnsiTheme="minorHAnsi"/>
          <w:i/>
          <w:color w:val="1F497D" w:themeColor="text2"/>
          <w:sz w:val="22"/>
          <w:szCs w:val="22"/>
        </w:rPr>
        <w:t xml:space="preserve">meet </w:t>
      </w:r>
      <w:r w:rsidRPr="00071781">
        <w:rPr>
          <w:rFonts w:asciiTheme="minorHAnsi" w:hAnsiTheme="minorHAnsi"/>
          <w:i/>
          <w:color w:val="1F497D" w:themeColor="text2"/>
          <w:sz w:val="22"/>
          <w:szCs w:val="22"/>
        </w:rPr>
        <w:t xml:space="preserve">their liabilities </w:t>
      </w:r>
    </w:p>
    <w:p w:rsidR="00A95043" w:rsidRPr="00071781" w:rsidRDefault="00A95043" w:rsidP="00316A5C">
      <w:pPr>
        <w:pStyle w:val="ListParagraph"/>
        <w:numPr>
          <w:ilvl w:val="0"/>
          <w:numId w:val="38"/>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This in turn would result in a reduction in depreciation expense and forecast employee costs as additional employees required to deliver the additional capital expenditure would not be required</w:t>
      </w:r>
    </w:p>
    <w:p w:rsidR="00A95043" w:rsidRPr="00071781" w:rsidRDefault="00A95043" w:rsidP="00316A5C">
      <w:pPr>
        <w:pStyle w:val="ListParagraph"/>
        <w:numPr>
          <w:ilvl w:val="0"/>
          <w:numId w:val="38"/>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Council’s DSCR and Interest Cover Ratio remain above the benchmark in all 10 years highlighting that if the liquidity position is addressed then Council is in a</w:t>
      </w:r>
      <w:r w:rsidR="00071781">
        <w:rPr>
          <w:rFonts w:asciiTheme="minorHAnsi" w:hAnsiTheme="minorHAnsi"/>
          <w:i/>
          <w:color w:val="1F497D" w:themeColor="text2"/>
          <w:sz w:val="22"/>
          <w:szCs w:val="22"/>
        </w:rPr>
        <w:t>n</w:t>
      </w:r>
      <w:r w:rsidRPr="00071781">
        <w:rPr>
          <w:rFonts w:asciiTheme="minorHAnsi" w:hAnsiTheme="minorHAnsi"/>
          <w:i/>
          <w:color w:val="1F497D" w:themeColor="text2"/>
          <w:sz w:val="22"/>
          <w:szCs w:val="22"/>
        </w:rPr>
        <w:t xml:space="preserve"> adequate position to service the additional borrowings</w:t>
      </w:r>
    </w:p>
    <w:p w:rsidR="00A95043" w:rsidRPr="00071781" w:rsidRDefault="00A95043" w:rsidP="00A95043">
      <w:pPr>
        <w:rPr>
          <w:rFonts w:asciiTheme="minorHAnsi" w:hAnsiTheme="minorHAnsi"/>
          <w:i/>
          <w:color w:val="1F497D" w:themeColor="text2"/>
          <w:sz w:val="22"/>
          <w:szCs w:val="22"/>
        </w:rPr>
      </w:pPr>
    </w:p>
    <w:p w:rsidR="00A95043" w:rsidRPr="00071781" w:rsidRDefault="00A95043" w:rsidP="00A95043">
      <w:pPr>
        <w:rPr>
          <w:rFonts w:asciiTheme="minorHAnsi" w:hAnsiTheme="minorHAnsi"/>
          <w:i/>
          <w:color w:val="1F497D" w:themeColor="text2"/>
          <w:sz w:val="22"/>
          <w:szCs w:val="22"/>
        </w:rPr>
      </w:pPr>
      <w:r w:rsidRPr="00071781">
        <w:rPr>
          <w:rFonts w:asciiTheme="minorHAnsi" w:hAnsiTheme="minorHAnsi"/>
          <w:i/>
          <w:color w:val="1F497D" w:themeColor="text2"/>
          <w:sz w:val="22"/>
          <w:szCs w:val="22"/>
        </w:rPr>
        <w:t>In respect of our Benchmarking analysis we have compared the Council’s key ratios with other councils in DLG Group 10.  Our key observations are:</w:t>
      </w:r>
    </w:p>
    <w:p w:rsidR="00A95043" w:rsidRPr="00071781" w:rsidRDefault="00A95043" w:rsidP="00316A5C">
      <w:pPr>
        <w:pStyle w:val="ListParagraph"/>
        <w:numPr>
          <w:ilvl w:val="0"/>
          <w:numId w:val="39"/>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Council’s financial flexibility as indicated by the Operating Ratio and Own Source Operating Revenue Ratio is varied with a weaker than group average operating performance but a higher than group average ability to generate own source operating revenues</w:t>
      </w:r>
    </w:p>
    <w:p w:rsidR="00A95043" w:rsidRPr="00071781" w:rsidRDefault="00A95043" w:rsidP="00316A5C">
      <w:pPr>
        <w:pStyle w:val="ListParagraph"/>
        <w:numPr>
          <w:ilvl w:val="0"/>
          <w:numId w:val="39"/>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 xml:space="preserve">Council has less relative capacity to utilise further borrowings than the group average as it has a weaker DSCR and Interest Cover Ratio </w:t>
      </w:r>
    </w:p>
    <w:p w:rsidR="00A95043" w:rsidRPr="00071781" w:rsidRDefault="00A95043" w:rsidP="00316A5C">
      <w:pPr>
        <w:pStyle w:val="ListParagraph"/>
        <w:numPr>
          <w:ilvl w:val="0"/>
          <w:numId w:val="39"/>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 was in a sufficient liquidity position and was above the group average liquidity level with Council holding the majority of their funds in cash and cash equivalents</w:t>
      </w:r>
    </w:p>
    <w:p w:rsidR="00A95043" w:rsidRPr="00071781" w:rsidRDefault="00A95043" w:rsidP="00316A5C">
      <w:pPr>
        <w:pStyle w:val="ListParagraph"/>
        <w:numPr>
          <w:ilvl w:val="0"/>
          <w:numId w:val="39"/>
        </w:numPr>
        <w:rPr>
          <w:rFonts w:asciiTheme="minorHAnsi" w:hAnsiTheme="minorHAnsi"/>
          <w:i/>
          <w:color w:val="1F497D" w:themeColor="text2"/>
          <w:sz w:val="22"/>
          <w:szCs w:val="22"/>
        </w:rPr>
      </w:pPr>
      <w:r w:rsidRPr="00071781">
        <w:rPr>
          <w:rFonts w:asciiTheme="minorHAnsi" w:hAnsiTheme="minorHAnsi"/>
          <w:i/>
          <w:color w:val="1F497D" w:themeColor="text2"/>
          <w:sz w:val="22"/>
          <w:szCs w:val="22"/>
        </w:rPr>
        <w:t>Council’s Capital Expenditure Ratio was below the group average but the level of Infrastructure Backlog decreased to benchmark in 2012, significantly below the group average.  Asset maintenance and renewals funding has not been adequate, below the benchmark in each year although both have improved above the group average in 2012.</w:t>
      </w:r>
    </w:p>
    <w:p w:rsidR="006C0D51" w:rsidRDefault="00A95043"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 </w:t>
      </w:r>
    </w:p>
    <w:p w:rsidR="006C0D51" w:rsidRDefault="00E92431"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A further review by </w:t>
      </w:r>
      <w:proofErr w:type="spellStart"/>
      <w:r>
        <w:rPr>
          <w:rFonts w:asciiTheme="minorHAnsi" w:hAnsiTheme="minorHAnsi"/>
          <w:color w:val="1F497D" w:themeColor="text2"/>
          <w:sz w:val="22"/>
          <w:szCs w:val="22"/>
        </w:rPr>
        <w:t>TCorp</w:t>
      </w:r>
      <w:proofErr w:type="spellEnd"/>
      <w:r>
        <w:rPr>
          <w:rFonts w:asciiTheme="minorHAnsi" w:hAnsiTheme="minorHAnsi"/>
          <w:color w:val="1F497D" w:themeColor="text2"/>
          <w:sz w:val="22"/>
          <w:szCs w:val="22"/>
        </w:rPr>
        <w:t xml:space="preserve"> of Council’s LTFP was sought in </w:t>
      </w:r>
      <w:r w:rsidR="00A80CFA">
        <w:rPr>
          <w:rFonts w:asciiTheme="minorHAnsi" w:hAnsiTheme="minorHAnsi"/>
          <w:color w:val="1F497D" w:themeColor="text2"/>
          <w:sz w:val="22"/>
          <w:szCs w:val="22"/>
        </w:rPr>
        <w:t>August</w:t>
      </w:r>
      <w:r>
        <w:rPr>
          <w:rFonts w:asciiTheme="minorHAnsi" w:hAnsiTheme="minorHAnsi"/>
          <w:color w:val="1F497D" w:themeColor="text2"/>
          <w:sz w:val="22"/>
          <w:szCs w:val="22"/>
        </w:rPr>
        <w:t xml:space="preserve"> 2013 based on </w:t>
      </w:r>
      <w:r w:rsidR="00A80CFA">
        <w:rPr>
          <w:rFonts w:asciiTheme="minorHAnsi" w:hAnsiTheme="minorHAnsi"/>
          <w:color w:val="1F497D" w:themeColor="text2"/>
          <w:sz w:val="22"/>
          <w:szCs w:val="22"/>
        </w:rPr>
        <w:t xml:space="preserve">the following models: </w:t>
      </w:r>
    </w:p>
    <w:p w:rsidR="00E92431" w:rsidRPr="008D7C80" w:rsidRDefault="00E92431" w:rsidP="00316A5C">
      <w:pPr>
        <w:pStyle w:val="ListParagraph"/>
        <w:numPr>
          <w:ilvl w:val="0"/>
          <w:numId w:val="28"/>
        </w:numPr>
        <w:rPr>
          <w:rFonts w:asciiTheme="minorHAnsi" w:hAnsiTheme="minorHAnsi"/>
          <w:color w:val="1F497D" w:themeColor="text2"/>
          <w:sz w:val="22"/>
          <w:szCs w:val="22"/>
        </w:rPr>
      </w:pPr>
      <w:r w:rsidRPr="008D7C80">
        <w:rPr>
          <w:rFonts w:asciiTheme="minorHAnsi" w:hAnsiTheme="minorHAnsi"/>
          <w:b/>
          <w:color w:val="1F497D" w:themeColor="text2"/>
          <w:sz w:val="22"/>
          <w:szCs w:val="22"/>
        </w:rPr>
        <w:t>Option 1:</w:t>
      </w:r>
      <w:r w:rsidRPr="008D7C80">
        <w:rPr>
          <w:rFonts w:asciiTheme="minorHAnsi" w:hAnsiTheme="minorHAnsi"/>
          <w:color w:val="1F497D" w:themeColor="text2"/>
          <w:sz w:val="22"/>
          <w:szCs w:val="22"/>
        </w:rPr>
        <w:t xml:space="preserve"> Reduced Services Model - 3.3% being the proposed rate cap each year (current situation) for all rating categories. This is subject to variation by IPART annually and the rate cap percentage may vary from 3.3%.</w:t>
      </w:r>
    </w:p>
    <w:p w:rsidR="00E92431" w:rsidRPr="008D7C80" w:rsidRDefault="00E92431" w:rsidP="00316A5C">
      <w:pPr>
        <w:pStyle w:val="Default"/>
        <w:numPr>
          <w:ilvl w:val="0"/>
          <w:numId w:val="28"/>
        </w:numPr>
        <w:rPr>
          <w:rFonts w:asciiTheme="minorHAnsi" w:hAnsiTheme="minorHAnsi"/>
          <w:color w:val="1F497D" w:themeColor="text2"/>
          <w:sz w:val="22"/>
          <w:szCs w:val="22"/>
        </w:rPr>
      </w:pPr>
      <w:r w:rsidRPr="008D7C80">
        <w:rPr>
          <w:rFonts w:asciiTheme="minorHAnsi" w:hAnsiTheme="minorHAnsi"/>
          <w:b/>
          <w:color w:val="1F497D" w:themeColor="text2"/>
          <w:sz w:val="22"/>
          <w:szCs w:val="22"/>
        </w:rPr>
        <w:t xml:space="preserve">Option </w:t>
      </w:r>
      <w:r>
        <w:rPr>
          <w:rFonts w:asciiTheme="minorHAnsi" w:hAnsiTheme="minorHAnsi"/>
          <w:b/>
          <w:color w:val="1F497D" w:themeColor="text2"/>
          <w:sz w:val="22"/>
          <w:szCs w:val="22"/>
        </w:rPr>
        <w:t>2</w:t>
      </w:r>
      <w:r w:rsidRPr="008D7C80">
        <w:rPr>
          <w:rFonts w:asciiTheme="minorHAnsi" w:hAnsiTheme="minorHAnsi"/>
          <w:b/>
          <w:color w:val="1F497D" w:themeColor="text2"/>
          <w:sz w:val="22"/>
          <w:szCs w:val="22"/>
        </w:rPr>
        <w:t>:</w:t>
      </w:r>
      <w:r w:rsidRPr="008D7C80">
        <w:rPr>
          <w:rFonts w:asciiTheme="minorHAnsi" w:hAnsiTheme="minorHAnsi"/>
          <w:color w:val="1F497D" w:themeColor="text2"/>
          <w:sz w:val="22"/>
          <w:szCs w:val="22"/>
        </w:rPr>
        <w:t xml:space="preserve"> </w:t>
      </w:r>
      <w:r>
        <w:rPr>
          <w:rFonts w:asciiTheme="minorHAnsi" w:hAnsiTheme="minorHAnsi"/>
          <w:color w:val="1F497D" w:themeColor="text2"/>
          <w:sz w:val="22"/>
          <w:szCs w:val="22"/>
        </w:rPr>
        <w:t xml:space="preserve">Maintained Services </w:t>
      </w:r>
      <w:r w:rsidRPr="008D7C80">
        <w:rPr>
          <w:rFonts w:asciiTheme="minorHAnsi" w:hAnsiTheme="minorHAnsi"/>
          <w:color w:val="1F497D" w:themeColor="text2"/>
          <w:sz w:val="22"/>
          <w:szCs w:val="22"/>
        </w:rPr>
        <w:t>Model -15% per annum over 6 years (cumulative and permanent) for all rating categories which includes the rate cap proposed by IPART annually.</w:t>
      </w:r>
    </w:p>
    <w:p w:rsidR="00E92431" w:rsidRDefault="00A80CFA"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(These are slightly different from those that Council consulted the community with.)</w:t>
      </w:r>
    </w:p>
    <w:p w:rsidR="00E92431" w:rsidRDefault="00E92431" w:rsidP="008D7C80">
      <w:pPr>
        <w:pStyle w:val="BodyText"/>
        <w:spacing w:before="0"/>
        <w:rPr>
          <w:rFonts w:asciiTheme="minorHAnsi" w:hAnsiTheme="minorHAnsi"/>
          <w:color w:val="1F497D" w:themeColor="text2"/>
          <w:sz w:val="22"/>
          <w:szCs w:val="22"/>
        </w:rPr>
      </w:pPr>
    </w:p>
    <w:p w:rsidR="00E92431" w:rsidRDefault="00A80CFA"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This review was sought to reinforce that Council was “getting on track”. The outcome of this assessment, based on the Maintained Services Model, was as follows:</w:t>
      </w:r>
    </w:p>
    <w:p w:rsidR="00A80CFA" w:rsidRDefault="00A80CFA" w:rsidP="00316A5C">
      <w:pPr>
        <w:pStyle w:val="BodyText"/>
        <w:numPr>
          <w:ilvl w:val="0"/>
          <w:numId w:val="34"/>
        </w:numPr>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Financial Sustainability Rating (FSR): </w:t>
      </w:r>
      <w:r>
        <w:rPr>
          <w:rFonts w:asciiTheme="minorHAnsi" w:hAnsiTheme="minorHAnsi"/>
          <w:color w:val="1F497D" w:themeColor="text2"/>
          <w:sz w:val="22"/>
          <w:szCs w:val="22"/>
        </w:rPr>
        <w:tab/>
        <w:t xml:space="preserve"> Moderate</w:t>
      </w:r>
    </w:p>
    <w:p w:rsidR="00A80CFA" w:rsidRDefault="00A80CFA" w:rsidP="00316A5C">
      <w:pPr>
        <w:pStyle w:val="BodyText"/>
        <w:numPr>
          <w:ilvl w:val="0"/>
          <w:numId w:val="34"/>
        </w:numPr>
        <w:spacing w:before="0"/>
        <w:rPr>
          <w:rFonts w:asciiTheme="minorHAnsi" w:hAnsiTheme="minorHAnsi"/>
          <w:color w:val="1F497D" w:themeColor="text2"/>
          <w:sz w:val="22"/>
          <w:szCs w:val="22"/>
        </w:rPr>
      </w:pPr>
      <w:r>
        <w:rPr>
          <w:rFonts w:asciiTheme="minorHAnsi" w:hAnsiTheme="minorHAnsi"/>
          <w:color w:val="1F497D" w:themeColor="text2"/>
          <w:sz w:val="22"/>
          <w:szCs w:val="22"/>
        </w:rPr>
        <w:t>Outlook:</w:t>
      </w:r>
      <w:r>
        <w:rPr>
          <w:rFonts w:asciiTheme="minorHAnsi" w:hAnsiTheme="minorHAnsi"/>
          <w:color w:val="1F497D" w:themeColor="text2"/>
          <w:sz w:val="22"/>
          <w:szCs w:val="22"/>
        </w:rPr>
        <w:tab/>
        <w:t xml:space="preserve">Neutral </w:t>
      </w:r>
    </w:p>
    <w:p w:rsidR="00A80CFA" w:rsidRDefault="00A80CFA" w:rsidP="008D7C80">
      <w:pPr>
        <w:pStyle w:val="BodyText"/>
        <w:spacing w:before="0"/>
        <w:rPr>
          <w:rFonts w:asciiTheme="minorHAnsi" w:hAnsiTheme="minorHAnsi"/>
          <w:color w:val="1F497D" w:themeColor="text2"/>
          <w:sz w:val="22"/>
          <w:szCs w:val="22"/>
        </w:rPr>
      </w:pPr>
    </w:p>
    <w:p w:rsidR="006510BD" w:rsidRDefault="006510BD">
      <w:pPr>
        <w:rPr>
          <w:rFonts w:asciiTheme="minorHAnsi" w:hAnsiTheme="minorHAnsi"/>
          <w:color w:val="1F497D" w:themeColor="text2"/>
          <w:sz w:val="22"/>
          <w:szCs w:val="22"/>
        </w:rPr>
      </w:pPr>
      <w:r>
        <w:rPr>
          <w:rFonts w:asciiTheme="minorHAnsi" w:hAnsiTheme="minorHAnsi"/>
          <w:color w:val="1F497D" w:themeColor="text2"/>
          <w:sz w:val="22"/>
          <w:szCs w:val="22"/>
        </w:rPr>
        <w:br w:type="page"/>
      </w:r>
    </w:p>
    <w:p w:rsidR="00C04B7A" w:rsidRDefault="00C04B7A" w:rsidP="00C04B7A">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lastRenderedPageBreak/>
        <w:t xml:space="preserve">In its Financial Assessment and Sustainability Report prepared (November 2013) </w:t>
      </w:r>
      <w:proofErr w:type="spellStart"/>
      <w:r>
        <w:rPr>
          <w:rFonts w:asciiTheme="minorHAnsi" w:hAnsiTheme="minorHAnsi"/>
          <w:color w:val="1F497D" w:themeColor="text2"/>
          <w:sz w:val="22"/>
          <w:szCs w:val="22"/>
        </w:rPr>
        <w:t>TCorp</w:t>
      </w:r>
      <w:proofErr w:type="spellEnd"/>
      <w:r>
        <w:rPr>
          <w:rFonts w:asciiTheme="minorHAnsi" w:hAnsiTheme="minorHAnsi"/>
          <w:color w:val="1F497D" w:themeColor="text2"/>
          <w:sz w:val="22"/>
          <w:szCs w:val="22"/>
        </w:rPr>
        <w:t xml:space="preserve"> states the following:</w:t>
      </w:r>
    </w:p>
    <w:p w:rsidR="00C04B7A" w:rsidRDefault="00C04B7A" w:rsidP="008D7C80">
      <w:pPr>
        <w:pStyle w:val="BodyText"/>
        <w:spacing w:before="0"/>
        <w:rPr>
          <w:rFonts w:asciiTheme="minorHAnsi" w:hAnsiTheme="minorHAnsi"/>
          <w:color w:val="1F497D" w:themeColor="text2"/>
          <w:sz w:val="22"/>
          <w:szCs w:val="22"/>
        </w:rPr>
      </w:pPr>
    </w:p>
    <w:p w:rsidR="00A80CFA" w:rsidRPr="00C04B7A" w:rsidRDefault="00A80CFA" w:rsidP="00A80CFA">
      <w:pPr>
        <w:rPr>
          <w:rFonts w:asciiTheme="minorHAnsi" w:hAnsiTheme="minorHAnsi"/>
          <w:i/>
          <w:color w:val="1F497D" w:themeColor="text2"/>
          <w:sz w:val="22"/>
          <w:szCs w:val="22"/>
        </w:rPr>
      </w:pPr>
      <w:r w:rsidRPr="00C04B7A">
        <w:rPr>
          <w:rFonts w:asciiTheme="minorHAnsi" w:hAnsiTheme="minorHAnsi"/>
          <w:i/>
          <w:color w:val="1F497D" w:themeColor="text2"/>
          <w:sz w:val="22"/>
          <w:szCs w:val="22"/>
        </w:rPr>
        <w:t>In respect of the long term Sustainability of the Council our key observations for the Maintained Services scenario are:</w:t>
      </w:r>
    </w:p>
    <w:p w:rsidR="00A80CFA" w:rsidRPr="00C04B7A" w:rsidRDefault="00A80CFA" w:rsidP="00316A5C">
      <w:pPr>
        <w:pStyle w:val="ListParagraph"/>
        <w:numPr>
          <w:ilvl w:val="0"/>
          <w:numId w:val="40"/>
        </w:numPr>
        <w:rPr>
          <w:rFonts w:asciiTheme="minorHAnsi" w:hAnsiTheme="minorHAnsi"/>
          <w:i/>
          <w:color w:val="1F497D" w:themeColor="text2"/>
          <w:sz w:val="22"/>
          <w:szCs w:val="22"/>
        </w:rPr>
      </w:pPr>
      <w:r w:rsidRPr="00C04B7A">
        <w:rPr>
          <w:rFonts w:asciiTheme="minorHAnsi" w:hAnsiTheme="minorHAnsi"/>
          <w:i/>
          <w:color w:val="1F497D" w:themeColor="text2"/>
          <w:sz w:val="22"/>
          <w:szCs w:val="22"/>
        </w:rPr>
        <w:t>Council’s operating result, excluding capital grants and contributions, is on an upward trend and</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is forecasting a surplus position from 2019.</w:t>
      </w:r>
    </w:p>
    <w:p w:rsidR="00A80CFA" w:rsidRPr="00C04B7A" w:rsidRDefault="00A80CFA" w:rsidP="00316A5C">
      <w:pPr>
        <w:pStyle w:val="ListParagraph"/>
        <w:numPr>
          <w:ilvl w:val="0"/>
          <w:numId w:val="40"/>
        </w:numPr>
        <w:rPr>
          <w:rFonts w:asciiTheme="minorHAnsi" w:hAnsiTheme="minorHAnsi"/>
          <w:i/>
          <w:color w:val="1F497D" w:themeColor="text2"/>
          <w:sz w:val="22"/>
          <w:szCs w:val="22"/>
        </w:rPr>
      </w:pPr>
      <w:r w:rsidRPr="00C04B7A">
        <w:rPr>
          <w:rFonts w:asciiTheme="minorHAnsi" w:hAnsiTheme="minorHAnsi"/>
          <w:i/>
          <w:color w:val="1F497D" w:themeColor="text2"/>
          <w:sz w:val="22"/>
          <w:szCs w:val="22"/>
        </w:rPr>
        <w:t>Council has forecast sufficient liquidity levels for the entire forecast period.</w:t>
      </w:r>
    </w:p>
    <w:p w:rsidR="00A80CFA" w:rsidRPr="00C04B7A" w:rsidRDefault="00A80CFA" w:rsidP="00316A5C">
      <w:pPr>
        <w:pStyle w:val="ListParagraph"/>
        <w:numPr>
          <w:ilvl w:val="0"/>
          <w:numId w:val="40"/>
        </w:numPr>
        <w:rPr>
          <w:rFonts w:asciiTheme="minorHAnsi" w:hAnsiTheme="minorHAnsi"/>
          <w:i/>
          <w:color w:val="1F497D" w:themeColor="text2"/>
          <w:sz w:val="22"/>
          <w:szCs w:val="22"/>
        </w:rPr>
      </w:pPr>
      <w:r w:rsidRPr="00C04B7A">
        <w:rPr>
          <w:rFonts w:asciiTheme="minorHAnsi" w:hAnsiTheme="minorHAnsi"/>
          <w:i/>
          <w:color w:val="1F497D" w:themeColor="text2"/>
          <w:sz w:val="22"/>
          <w:szCs w:val="22"/>
        </w:rPr>
        <w:t>Council is forecasting capital spending sufficient to address their asset maintenance shortfall and</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commence addressing their Infrastructure Backlog as well as allow for spending on some new</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capital works.</w:t>
      </w:r>
    </w:p>
    <w:p w:rsidR="00A80CFA" w:rsidRPr="00C04B7A" w:rsidRDefault="00A80CFA" w:rsidP="00316A5C">
      <w:pPr>
        <w:pStyle w:val="ListParagraph"/>
        <w:numPr>
          <w:ilvl w:val="0"/>
          <w:numId w:val="40"/>
        </w:numPr>
        <w:rPr>
          <w:rFonts w:asciiTheme="minorHAnsi" w:hAnsiTheme="minorHAnsi"/>
          <w:i/>
          <w:color w:val="1F497D" w:themeColor="text2"/>
          <w:sz w:val="22"/>
          <w:szCs w:val="22"/>
        </w:rPr>
      </w:pPr>
      <w:r w:rsidRPr="00C04B7A">
        <w:rPr>
          <w:rFonts w:asciiTheme="minorHAnsi" w:hAnsiTheme="minorHAnsi"/>
          <w:i/>
          <w:color w:val="1F497D" w:themeColor="text2"/>
          <w:sz w:val="22"/>
          <w:szCs w:val="22"/>
        </w:rPr>
        <w:t>Council’s Interest Cover Ratio and DSCR are well above benchmark and suggest Council has</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the capacity to undertake additional borrowings in their financial forecast.</w:t>
      </w:r>
    </w:p>
    <w:p w:rsidR="00A80CFA" w:rsidRPr="00C04B7A" w:rsidRDefault="00A80CFA" w:rsidP="00A80CFA">
      <w:pPr>
        <w:rPr>
          <w:rFonts w:asciiTheme="minorHAnsi" w:hAnsiTheme="minorHAnsi"/>
          <w:i/>
          <w:color w:val="1F497D" w:themeColor="text2"/>
          <w:sz w:val="22"/>
          <w:szCs w:val="22"/>
        </w:rPr>
      </w:pPr>
      <w:r w:rsidRPr="00C04B7A">
        <w:rPr>
          <w:rFonts w:asciiTheme="minorHAnsi" w:hAnsiTheme="minorHAnsi"/>
          <w:i/>
          <w:color w:val="1F497D" w:themeColor="text2"/>
          <w:sz w:val="22"/>
          <w:szCs w:val="22"/>
        </w:rPr>
        <w:t xml:space="preserve">Based on the revised information provided to </w:t>
      </w:r>
      <w:proofErr w:type="spellStart"/>
      <w:r w:rsidRPr="00C04B7A">
        <w:rPr>
          <w:rFonts w:asciiTheme="minorHAnsi" w:hAnsiTheme="minorHAnsi"/>
          <w:i/>
          <w:color w:val="1F497D" w:themeColor="text2"/>
          <w:sz w:val="22"/>
          <w:szCs w:val="22"/>
        </w:rPr>
        <w:t>TCorp</w:t>
      </w:r>
      <w:proofErr w:type="spellEnd"/>
      <w:r w:rsidRPr="00C04B7A">
        <w:rPr>
          <w:rFonts w:asciiTheme="minorHAnsi" w:hAnsiTheme="minorHAnsi"/>
          <w:i/>
          <w:color w:val="1F497D" w:themeColor="text2"/>
          <w:sz w:val="22"/>
          <w:szCs w:val="22"/>
        </w:rPr>
        <w:t xml:space="preserve"> and the Reduced Services scenario, Council is</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currently assessed to have a FSR of Moderate with a Neutral Outlook for the next three years.</w:t>
      </w:r>
    </w:p>
    <w:p w:rsidR="00C04B7A" w:rsidRPr="00C04B7A" w:rsidRDefault="00C04B7A" w:rsidP="00A80CFA">
      <w:pPr>
        <w:rPr>
          <w:rFonts w:asciiTheme="minorHAnsi" w:hAnsiTheme="minorHAnsi"/>
          <w:i/>
          <w:color w:val="1F497D" w:themeColor="text2"/>
          <w:sz w:val="22"/>
          <w:szCs w:val="22"/>
        </w:rPr>
      </w:pPr>
    </w:p>
    <w:p w:rsidR="00A80CFA" w:rsidRPr="00C04B7A" w:rsidRDefault="00A80CFA" w:rsidP="00A80CFA">
      <w:pPr>
        <w:rPr>
          <w:rFonts w:asciiTheme="minorHAnsi" w:hAnsiTheme="minorHAnsi"/>
          <w:i/>
          <w:color w:val="1F497D" w:themeColor="text2"/>
          <w:sz w:val="22"/>
          <w:szCs w:val="22"/>
        </w:rPr>
      </w:pPr>
      <w:r w:rsidRPr="00C04B7A">
        <w:rPr>
          <w:rFonts w:asciiTheme="minorHAnsi" w:hAnsiTheme="minorHAnsi"/>
          <w:i/>
          <w:color w:val="1F497D" w:themeColor="text2"/>
          <w:sz w:val="22"/>
          <w:szCs w:val="22"/>
        </w:rPr>
        <w:t>While the Outlook improves to Neutral in the short term as a result of the revised LTFP submitted,</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without additional revenue Council’s Outlook will deteriorate to Negative by the end of the financial</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forecast period as Council is unable to return to an operating surplus, fund the required</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maintenance and asset renewal or reduce its backlog.</w:t>
      </w:r>
    </w:p>
    <w:p w:rsidR="00C04B7A" w:rsidRPr="00C04B7A" w:rsidRDefault="00C04B7A" w:rsidP="00A80CFA">
      <w:pPr>
        <w:rPr>
          <w:rFonts w:asciiTheme="minorHAnsi" w:hAnsiTheme="minorHAnsi"/>
          <w:i/>
          <w:color w:val="1F497D" w:themeColor="text2"/>
          <w:sz w:val="22"/>
          <w:szCs w:val="22"/>
        </w:rPr>
      </w:pPr>
    </w:p>
    <w:p w:rsidR="00A80CFA" w:rsidRPr="00C04B7A" w:rsidRDefault="00A80CFA" w:rsidP="00A80CFA">
      <w:pPr>
        <w:rPr>
          <w:rFonts w:asciiTheme="minorHAnsi" w:hAnsiTheme="minorHAnsi"/>
          <w:i/>
          <w:color w:val="1F497D" w:themeColor="text2"/>
          <w:sz w:val="22"/>
          <w:szCs w:val="22"/>
        </w:rPr>
      </w:pPr>
      <w:r w:rsidRPr="00C04B7A">
        <w:rPr>
          <w:rFonts w:asciiTheme="minorHAnsi" w:hAnsiTheme="minorHAnsi"/>
          <w:i/>
          <w:color w:val="1F497D" w:themeColor="text2"/>
          <w:sz w:val="22"/>
          <w:szCs w:val="22"/>
        </w:rPr>
        <w:t>In the event that Council is unsuccessful with its SRV application, the expected impact on the long</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term sustainability of Council is:</w:t>
      </w:r>
    </w:p>
    <w:p w:rsidR="00C04B7A" w:rsidRPr="00C04B7A" w:rsidRDefault="00A80CFA" w:rsidP="00316A5C">
      <w:pPr>
        <w:pStyle w:val="ListParagraph"/>
        <w:numPr>
          <w:ilvl w:val="0"/>
          <w:numId w:val="41"/>
        </w:numPr>
        <w:rPr>
          <w:rFonts w:asciiTheme="minorHAnsi" w:hAnsiTheme="minorHAnsi"/>
          <w:i/>
          <w:color w:val="1F497D" w:themeColor="text2"/>
          <w:sz w:val="22"/>
          <w:szCs w:val="22"/>
        </w:rPr>
      </w:pPr>
      <w:r w:rsidRPr="00C04B7A">
        <w:rPr>
          <w:rFonts w:asciiTheme="minorHAnsi" w:hAnsiTheme="minorHAnsi"/>
          <w:i/>
          <w:color w:val="1F497D" w:themeColor="text2"/>
          <w:sz w:val="22"/>
          <w:szCs w:val="22"/>
        </w:rPr>
        <w:t>Council is forecasting operating deficits for the entire forecast period.</w:t>
      </w:r>
    </w:p>
    <w:p w:rsidR="00A80CFA" w:rsidRPr="00C04B7A" w:rsidRDefault="00A80CFA" w:rsidP="00316A5C">
      <w:pPr>
        <w:pStyle w:val="ListParagraph"/>
        <w:numPr>
          <w:ilvl w:val="0"/>
          <w:numId w:val="41"/>
        </w:numPr>
        <w:rPr>
          <w:rFonts w:asciiTheme="minorHAnsi" w:hAnsiTheme="minorHAnsi"/>
          <w:i/>
          <w:color w:val="1F497D" w:themeColor="text2"/>
          <w:sz w:val="22"/>
          <w:szCs w:val="22"/>
        </w:rPr>
      </w:pPr>
      <w:r w:rsidRPr="00C04B7A">
        <w:rPr>
          <w:rFonts w:asciiTheme="minorHAnsi" w:hAnsiTheme="minorHAnsi"/>
          <w:i/>
          <w:color w:val="1F497D" w:themeColor="text2"/>
          <w:sz w:val="22"/>
          <w:szCs w:val="22"/>
        </w:rPr>
        <w:t>Council is forecasting insufficient capital spending which may lead to their Infrastructure Backlog</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increasing in the medium to long term with a possible reduction in services.</w:t>
      </w:r>
    </w:p>
    <w:p w:rsidR="00A80CFA" w:rsidRPr="00C04B7A" w:rsidRDefault="00A80CFA" w:rsidP="00316A5C">
      <w:pPr>
        <w:pStyle w:val="ListParagraph"/>
        <w:numPr>
          <w:ilvl w:val="0"/>
          <w:numId w:val="41"/>
        </w:numPr>
        <w:rPr>
          <w:rFonts w:asciiTheme="minorHAnsi" w:hAnsiTheme="minorHAnsi"/>
          <w:i/>
          <w:color w:val="1F497D" w:themeColor="text2"/>
          <w:sz w:val="22"/>
          <w:szCs w:val="22"/>
        </w:rPr>
      </w:pPr>
      <w:r w:rsidRPr="00C04B7A">
        <w:rPr>
          <w:rFonts w:asciiTheme="minorHAnsi" w:hAnsiTheme="minorHAnsi"/>
          <w:i/>
          <w:color w:val="1F497D" w:themeColor="text2"/>
          <w:sz w:val="22"/>
          <w:szCs w:val="22"/>
        </w:rPr>
        <w:t>Council’s Interest Cover Ratio and DSCR are well above benchmark and improving over the</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period as Council has not forecast any additional borrowing under the Reduced Services</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scenario. This indicates Council has the capacity to undertake additional borrowings in their</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financial forecast.</w:t>
      </w:r>
    </w:p>
    <w:p w:rsidR="00C04B7A" w:rsidRPr="00C04B7A" w:rsidRDefault="00C04B7A" w:rsidP="00A80CFA">
      <w:pPr>
        <w:rPr>
          <w:rFonts w:asciiTheme="minorHAnsi" w:hAnsiTheme="minorHAnsi"/>
          <w:i/>
          <w:color w:val="1F497D" w:themeColor="text2"/>
          <w:sz w:val="22"/>
          <w:szCs w:val="22"/>
        </w:rPr>
      </w:pPr>
    </w:p>
    <w:p w:rsidR="00A80CFA" w:rsidRPr="00C04B7A" w:rsidRDefault="00A80CFA" w:rsidP="00A80CFA">
      <w:pPr>
        <w:rPr>
          <w:rFonts w:asciiTheme="minorHAnsi" w:hAnsiTheme="minorHAnsi"/>
          <w:i/>
          <w:color w:val="1F497D" w:themeColor="text2"/>
          <w:sz w:val="22"/>
          <w:szCs w:val="22"/>
        </w:rPr>
      </w:pPr>
      <w:r w:rsidRPr="00C04B7A">
        <w:rPr>
          <w:rFonts w:asciiTheme="minorHAnsi" w:hAnsiTheme="minorHAnsi"/>
          <w:i/>
          <w:color w:val="1F497D" w:themeColor="text2"/>
          <w:sz w:val="22"/>
          <w:szCs w:val="22"/>
        </w:rPr>
        <w:t>Through their integrated planning and reporting framework, Council has recognised the need to</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secure additional funding to properly service their infrastructure assets and achieve operating</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surpluses in the medium to long term.</w:t>
      </w:r>
    </w:p>
    <w:p w:rsidR="00C04B7A" w:rsidRPr="00C04B7A" w:rsidRDefault="00C04B7A" w:rsidP="00A80CFA">
      <w:pPr>
        <w:rPr>
          <w:rFonts w:asciiTheme="minorHAnsi" w:hAnsiTheme="minorHAnsi"/>
          <w:i/>
          <w:color w:val="1F497D" w:themeColor="text2"/>
          <w:sz w:val="22"/>
          <w:szCs w:val="22"/>
        </w:rPr>
      </w:pPr>
    </w:p>
    <w:p w:rsidR="00A80CFA" w:rsidRPr="00C04B7A" w:rsidRDefault="00A80CFA" w:rsidP="00A80CFA">
      <w:pPr>
        <w:rPr>
          <w:rFonts w:asciiTheme="minorHAnsi" w:hAnsiTheme="minorHAnsi"/>
          <w:i/>
          <w:color w:val="1F497D" w:themeColor="text2"/>
          <w:sz w:val="22"/>
          <w:szCs w:val="22"/>
        </w:rPr>
      </w:pPr>
      <w:r w:rsidRPr="00C04B7A">
        <w:rPr>
          <w:rFonts w:asciiTheme="minorHAnsi" w:hAnsiTheme="minorHAnsi"/>
          <w:i/>
          <w:color w:val="1F497D" w:themeColor="text2"/>
          <w:sz w:val="22"/>
          <w:szCs w:val="22"/>
        </w:rPr>
        <w:t>The ‘Maintained Services’ scenario assumes a six year permanent SRV from 2015 to 2020 inclusive</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and would allow Council to return to a balanced budget and address some of the Infrastructure</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Backlog.</w:t>
      </w:r>
    </w:p>
    <w:p w:rsidR="00C04B7A" w:rsidRPr="00C04B7A" w:rsidRDefault="00C04B7A" w:rsidP="00A80CFA">
      <w:pPr>
        <w:rPr>
          <w:rFonts w:asciiTheme="minorHAnsi" w:hAnsiTheme="minorHAnsi"/>
          <w:i/>
          <w:color w:val="1F497D" w:themeColor="text2"/>
          <w:sz w:val="22"/>
          <w:szCs w:val="22"/>
        </w:rPr>
      </w:pPr>
    </w:p>
    <w:p w:rsidR="00E92431" w:rsidRDefault="00A80CFA" w:rsidP="00A80CFA">
      <w:pPr>
        <w:rPr>
          <w:rFonts w:asciiTheme="minorHAnsi" w:hAnsiTheme="minorHAnsi"/>
          <w:sz w:val="22"/>
          <w:szCs w:val="22"/>
        </w:rPr>
      </w:pPr>
      <w:r w:rsidRPr="00C04B7A">
        <w:rPr>
          <w:rFonts w:asciiTheme="minorHAnsi" w:hAnsiTheme="minorHAnsi"/>
          <w:i/>
          <w:color w:val="1F497D" w:themeColor="text2"/>
          <w:sz w:val="22"/>
          <w:szCs w:val="22"/>
        </w:rPr>
        <w:t>The ‘Reduced Services’ model illustrates the impacts on Council’s financial position if Council is</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unsuccessful in their SRV application which has forecast operating deficits each year of their</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financial forecast and insufficient funds to complete the required capital works to maintain their</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existing assets and services. Under this scenario if Council is unable to raise additional funds,</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services would need to be reduced such as the cessation of the timber bridge program leading to</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the possible closure of some bridges, reductions in the resealing and rehabilitation of roads and a</w:t>
      </w:r>
      <w:r w:rsidR="00C04B7A" w:rsidRPr="00C04B7A">
        <w:rPr>
          <w:rFonts w:asciiTheme="minorHAnsi" w:hAnsiTheme="minorHAnsi"/>
          <w:i/>
          <w:color w:val="1F497D" w:themeColor="text2"/>
          <w:sz w:val="22"/>
          <w:szCs w:val="22"/>
        </w:rPr>
        <w:t xml:space="preserve"> </w:t>
      </w:r>
      <w:r w:rsidRPr="00C04B7A">
        <w:rPr>
          <w:rFonts w:asciiTheme="minorHAnsi" w:hAnsiTheme="minorHAnsi"/>
          <w:i/>
          <w:color w:val="1F497D" w:themeColor="text2"/>
          <w:sz w:val="22"/>
          <w:szCs w:val="22"/>
        </w:rPr>
        <w:t>reduction in the infrastructure renewals program.</w:t>
      </w:r>
    </w:p>
    <w:p w:rsidR="00C04B7A" w:rsidRDefault="00C04B7A" w:rsidP="00A80CFA">
      <w:pPr>
        <w:rPr>
          <w:rFonts w:asciiTheme="minorHAnsi" w:hAnsiTheme="minorHAnsi"/>
          <w:color w:val="1F497D" w:themeColor="text2"/>
        </w:rPr>
      </w:pPr>
    </w:p>
    <w:p w:rsidR="006510BD" w:rsidRDefault="00C04B7A"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While an assessment has not been undertaken on this SRV application, the above assessments support the need for Council to seek more funding to sustain operations long term.</w:t>
      </w:r>
    </w:p>
    <w:p w:rsidR="006510BD" w:rsidRDefault="006510BD" w:rsidP="006510BD">
      <w:pPr>
        <w:pStyle w:val="Subtitle"/>
      </w:pPr>
      <w:r>
        <w:br w:type="page"/>
      </w:r>
    </w:p>
    <w:p w:rsidR="008E73E3" w:rsidRDefault="008E73E3" w:rsidP="008D7C80">
      <w:pPr>
        <w:pStyle w:val="BodyText"/>
        <w:spacing w:before="0"/>
      </w:pPr>
    </w:p>
    <w:p w:rsidR="002C4125" w:rsidRDefault="00AC0BF5" w:rsidP="00DB3F25">
      <w:pPr>
        <w:pStyle w:val="BodyText"/>
      </w:pPr>
      <w:r>
        <w:t xml:space="preserve">How will </w:t>
      </w:r>
      <w:r w:rsidR="009E4CA0">
        <w:t xml:space="preserve">the special variation </w:t>
      </w:r>
      <w:r>
        <w:t xml:space="preserve">affect </w:t>
      </w:r>
      <w:r w:rsidR="00F8322F">
        <w:t xml:space="preserve">the council’s </w:t>
      </w:r>
      <w:r w:rsidR="009E4CA0">
        <w:t xml:space="preserve">key </w:t>
      </w:r>
      <w:r w:rsidR="00DB3F25">
        <w:t xml:space="preserve">financial </w:t>
      </w:r>
      <w:r w:rsidR="009E4CA0">
        <w:t>indicators</w:t>
      </w:r>
      <w:r w:rsidR="002C4125">
        <w:t xml:space="preserve"> over the 10</w:t>
      </w:r>
      <w:r w:rsidR="00711455">
        <w:t>-</w:t>
      </w:r>
      <w:r w:rsidR="002C4125">
        <w:t>year planning period</w:t>
      </w:r>
      <w:r>
        <w:t xml:space="preserve">?  </w:t>
      </w:r>
      <w:r w:rsidR="00567666">
        <w:t>K</w:t>
      </w:r>
      <w:r w:rsidR="002C4125">
        <w:t>ey indica</w:t>
      </w:r>
      <w:r w:rsidR="00257005">
        <w:t>t</w:t>
      </w:r>
      <w:r w:rsidR="002C4125">
        <w:t>ors</w:t>
      </w:r>
      <w:r w:rsidR="00257005">
        <w:t xml:space="preserve"> </w:t>
      </w:r>
      <w:r w:rsidR="00DA0581">
        <w:t>may</w:t>
      </w:r>
      <w:r w:rsidR="00DB3F25">
        <w:t xml:space="preserve"> </w:t>
      </w:r>
      <w:r w:rsidR="00257005">
        <w:t>include:</w:t>
      </w:r>
    </w:p>
    <w:p w:rsidR="00257005" w:rsidRPr="00761C02" w:rsidRDefault="00257005" w:rsidP="00DB3F25">
      <w:pPr>
        <w:pStyle w:val="ListBullet"/>
      </w:pPr>
      <w:r w:rsidRPr="00761C02">
        <w:t xml:space="preserve">Operating balance ratio </w:t>
      </w:r>
      <w:r w:rsidR="004554E7">
        <w:t xml:space="preserve">excluding capital items </w:t>
      </w:r>
      <w:r w:rsidR="00DB3F25">
        <w:t>(</w:t>
      </w:r>
      <w:proofErr w:type="spellStart"/>
      <w:r w:rsidR="003515CF">
        <w:t>i</w:t>
      </w:r>
      <w:r w:rsidR="004554E7">
        <w:t>e</w:t>
      </w:r>
      <w:proofErr w:type="spellEnd"/>
      <w:r w:rsidR="003515CF">
        <w:t>,</w:t>
      </w:r>
      <w:r w:rsidR="004554E7">
        <w:t xml:space="preserve"> </w:t>
      </w:r>
      <w:r w:rsidRPr="00761C02">
        <w:t xml:space="preserve">net operating result </w:t>
      </w:r>
      <w:r w:rsidR="004554E7">
        <w:t xml:space="preserve">before capital </w:t>
      </w:r>
      <w:r w:rsidRPr="00761C02">
        <w:t>as percentage of operating revenue</w:t>
      </w:r>
      <w:r w:rsidR="004554E7">
        <w:t xml:space="preserve"> before capital</w:t>
      </w:r>
      <w:r w:rsidR="00F5583F">
        <w:t xml:space="preserve"> grants and contributions</w:t>
      </w:r>
      <w:r w:rsidR="00DB3F25">
        <w:t>)</w:t>
      </w:r>
    </w:p>
    <w:p w:rsidR="00257005" w:rsidRPr="00761C02" w:rsidRDefault="00257005" w:rsidP="00DB3F25">
      <w:pPr>
        <w:pStyle w:val="ListBullet"/>
      </w:pPr>
      <w:r w:rsidRPr="00761C02">
        <w:t xml:space="preserve">Unrestricted current ratio </w:t>
      </w:r>
      <w:r w:rsidR="00DB3F25">
        <w:t>(</w:t>
      </w:r>
      <w:r w:rsidRPr="00761C02">
        <w:t>the unrestricted current assets divided by unrestricted current liabilities</w:t>
      </w:r>
      <w:r w:rsidR="00DB3F25">
        <w:t>)</w:t>
      </w:r>
    </w:p>
    <w:p w:rsidR="00257005" w:rsidRPr="00761C02" w:rsidRDefault="00257005" w:rsidP="00DB3F25">
      <w:pPr>
        <w:pStyle w:val="ListBullet"/>
      </w:pPr>
      <w:r w:rsidRPr="00761C02">
        <w:t xml:space="preserve">Rates and annual charges ratio </w:t>
      </w:r>
      <w:r w:rsidR="00DB3F25">
        <w:t>(</w:t>
      </w:r>
      <w:r w:rsidRPr="00761C02">
        <w:t xml:space="preserve">rates and annual charges divided by operating </w:t>
      </w:r>
      <w:r w:rsidR="004D7189">
        <w:t>revenue</w:t>
      </w:r>
      <w:r w:rsidR="00DB3F25">
        <w:t>)</w:t>
      </w:r>
    </w:p>
    <w:p w:rsidR="00257005" w:rsidRPr="00761C02" w:rsidRDefault="00257005" w:rsidP="00DB3F25">
      <w:pPr>
        <w:pStyle w:val="ListBullet"/>
      </w:pPr>
      <w:r w:rsidRPr="00761C02">
        <w:t xml:space="preserve">Debt service ratio </w:t>
      </w:r>
      <w:r w:rsidR="00DB3F25">
        <w:t>(</w:t>
      </w:r>
      <w:r w:rsidRPr="00761C02">
        <w:t>net debt service cost divided by revenue from continuing operations</w:t>
      </w:r>
      <w:r w:rsidR="00DB3F25">
        <w:t>)</w:t>
      </w:r>
    </w:p>
    <w:p w:rsidR="00257005" w:rsidRPr="00761C02" w:rsidRDefault="00257005" w:rsidP="00DB3F25">
      <w:pPr>
        <w:pStyle w:val="ListBullet"/>
      </w:pPr>
      <w:r w:rsidRPr="00761C02">
        <w:t xml:space="preserve">Broad liabilities ratio </w:t>
      </w:r>
      <w:r w:rsidR="00DB3F25">
        <w:t>(</w:t>
      </w:r>
      <w:r w:rsidRPr="00761C02">
        <w:t>total debt plus cost to clear infrastructure backlogs (Special Schedule 7) divided by operating revenue</w:t>
      </w:r>
      <w:r w:rsidR="00DB3F25">
        <w:t>)</w:t>
      </w:r>
    </w:p>
    <w:p w:rsidR="00257005" w:rsidRPr="00761C02" w:rsidRDefault="00257005" w:rsidP="00DB3F25">
      <w:pPr>
        <w:pStyle w:val="ListBullet"/>
      </w:pPr>
      <w:r w:rsidRPr="00761C02">
        <w:t xml:space="preserve">Asset renewal ratio </w:t>
      </w:r>
      <w:r w:rsidR="00DB3F25">
        <w:t>(</w:t>
      </w:r>
      <w:r w:rsidRPr="00761C02">
        <w:t>asset renewals expenditure divided by depreciation, amortisation and impairment expenses</w:t>
      </w:r>
      <w:r w:rsidR="00DB3F25">
        <w:t>)</w:t>
      </w:r>
      <w:r w:rsidR="00E11912">
        <w:t>.</w:t>
      </w:r>
    </w:p>
    <w:p w:rsidR="008D7C80" w:rsidRDefault="008D7C80" w:rsidP="008D7C80">
      <w:pPr>
        <w:pStyle w:val="BodyText"/>
        <w:spacing w:before="0"/>
      </w:pPr>
    </w:p>
    <w:p w:rsidR="008D7C80" w:rsidRDefault="008D7C80" w:rsidP="008D7C80">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FF28D0" w:rsidRDefault="00B04109" w:rsidP="00B04109">
      <w:pPr>
        <w:rPr>
          <w:rFonts w:asciiTheme="minorHAnsi" w:eastAsia="Calibri" w:hAnsiTheme="minorHAnsi" w:cs="Arial"/>
          <w:color w:val="1F497D" w:themeColor="text2"/>
          <w:sz w:val="22"/>
          <w:szCs w:val="22"/>
        </w:rPr>
      </w:pPr>
      <w:r>
        <w:rPr>
          <w:rFonts w:asciiTheme="minorHAnsi" w:hAnsiTheme="minorHAnsi"/>
          <w:color w:val="1F497D" w:themeColor="text2"/>
          <w:sz w:val="22"/>
          <w:szCs w:val="22"/>
        </w:rPr>
        <w:t xml:space="preserve">This application for a special rate variation is part of </w:t>
      </w:r>
      <w:r w:rsidR="00FF28D0">
        <w:rPr>
          <w:rFonts w:asciiTheme="minorHAnsi" w:hAnsiTheme="minorHAnsi"/>
          <w:color w:val="1F497D" w:themeColor="text2"/>
          <w:sz w:val="22"/>
          <w:szCs w:val="22"/>
        </w:rPr>
        <w:t xml:space="preserve">long term </w:t>
      </w:r>
      <w:r>
        <w:rPr>
          <w:rFonts w:asciiTheme="minorHAnsi" w:hAnsiTheme="minorHAnsi"/>
          <w:color w:val="1F497D" w:themeColor="text2"/>
          <w:sz w:val="22"/>
          <w:szCs w:val="22"/>
        </w:rPr>
        <w:t xml:space="preserve">strategy by Council to become financially sustainable. Council has included </w:t>
      </w:r>
      <w:r w:rsidR="00FF28D0">
        <w:rPr>
          <w:rFonts w:asciiTheme="minorHAnsi" w:hAnsiTheme="minorHAnsi"/>
          <w:color w:val="1F497D" w:themeColor="text2"/>
          <w:sz w:val="22"/>
          <w:szCs w:val="22"/>
        </w:rPr>
        <w:t xml:space="preserve">in its 10 year forecasts assumption </w:t>
      </w:r>
      <w:r w:rsidRPr="00FF28D0">
        <w:rPr>
          <w:rFonts w:asciiTheme="minorHAnsi" w:eastAsia="Calibri" w:hAnsiTheme="minorHAnsi" w:cs="Arial"/>
          <w:color w:val="1F497D" w:themeColor="text2"/>
          <w:sz w:val="22"/>
          <w:szCs w:val="22"/>
        </w:rPr>
        <w:t>of a Special Rate Variation of 6% on the Farmland rating category and 10% on all other rating categories for years 2016/17 to 2023/24</w:t>
      </w:r>
      <w:r w:rsidR="00FF3F37">
        <w:rPr>
          <w:rFonts w:asciiTheme="minorHAnsi" w:eastAsia="Calibri" w:hAnsiTheme="minorHAnsi" w:cs="Arial"/>
          <w:color w:val="1F497D" w:themeColor="text2"/>
          <w:sz w:val="22"/>
          <w:szCs w:val="22"/>
        </w:rPr>
        <w:t xml:space="preserve"> (excluding the mining category special rate variation).</w:t>
      </w:r>
    </w:p>
    <w:p w:rsidR="00FF28D0" w:rsidRDefault="00FF28D0" w:rsidP="00B04109">
      <w:pPr>
        <w:rPr>
          <w:rFonts w:asciiTheme="minorHAnsi" w:eastAsia="Calibri" w:hAnsiTheme="minorHAnsi" w:cs="Arial"/>
          <w:color w:val="1F497D" w:themeColor="text2"/>
          <w:sz w:val="22"/>
          <w:szCs w:val="22"/>
        </w:rPr>
      </w:pPr>
    </w:p>
    <w:p w:rsidR="00B04109" w:rsidRDefault="00B04109" w:rsidP="00B04109">
      <w:pPr>
        <w:rPr>
          <w:rFonts w:asciiTheme="minorHAnsi" w:eastAsia="Calibri" w:hAnsiTheme="minorHAnsi" w:cs="Arial"/>
          <w:color w:val="1F497D" w:themeColor="text2"/>
          <w:sz w:val="22"/>
          <w:szCs w:val="22"/>
        </w:rPr>
      </w:pPr>
      <w:r w:rsidRPr="00B04109">
        <w:rPr>
          <w:rFonts w:asciiTheme="minorHAnsi" w:eastAsia="Calibri" w:hAnsiTheme="minorHAnsi" w:cs="Arial"/>
          <w:color w:val="1F497D" w:themeColor="text2"/>
          <w:sz w:val="22"/>
          <w:szCs w:val="22"/>
        </w:rPr>
        <w:t xml:space="preserve">The following financial indicators have been extracted from Council’s 2014-2024 Long Term Financial </w:t>
      </w:r>
      <w:proofErr w:type="gramStart"/>
      <w:r>
        <w:rPr>
          <w:rFonts w:asciiTheme="minorHAnsi" w:eastAsia="Calibri" w:hAnsiTheme="minorHAnsi" w:cs="Arial"/>
          <w:color w:val="1F497D" w:themeColor="text2"/>
          <w:sz w:val="22"/>
          <w:szCs w:val="22"/>
        </w:rPr>
        <w:t>Plan</w:t>
      </w:r>
      <w:proofErr w:type="gramEnd"/>
      <w:r w:rsidRPr="00B04109">
        <w:rPr>
          <w:rFonts w:asciiTheme="minorHAnsi" w:eastAsia="Calibri" w:hAnsiTheme="minorHAnsi" w:cs="Arial"/>
          <w:color w:val="1F497D" w:themeColor="text2"/>
          <w:sz w:val="22"/>
          <w:szCs w:val="22"/>
        </w:rPr>
        <w:t>. The indicators are also inclusive of an assumed Special Rate Variation of 6% on the Farmland rating category and 10% on all other rating categories for years 2016/17 to 2023/24.</w:t>
      </w:r>
    </w:p>
    <w:p w:rsidR="00FF3F37" w:rsidRDefault="00FF3F37" w:rsidP="00B04109">
      <w:pPr>
        <w:rPr>
          <w:rFonts w:asciiTheme="minorHAnsi" w:eastAsia="Calibri" w:hAnsiTheme="minorHAnsi" w:cs="Arial"/>
          <w:color w:val="1F497D" w:themeColor="text2"/>
          <w:sz w:val="22"/>
          <w:szCs w:val="22"/>
        </w:rPr>
      </w:pPr>
    </w:p>
    <w:p w:rsidR="00FF3F37" w:rsidRDefault="00FF3F37" w:rsidP="00B04109">
      <w:pPr>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From the charts below the special variation will assist Council in its long term strategy of financial sustainability and give Council certainty that it is heading in the right direction.</w:t>
      </w:r>
    </w:p>
    <w:p w:rsidR="00B04109" w:rsidRDefault="00B04109">
      <w:pPr>
        <w:rPr>
          <w:rFonts w:asciiTheme="minorHAnsi" w:hAnsiTheme="minorHAnsi" w:cs="Arial"/>
          <w:b/>
          <w:color w:val="1F497D" w:themeColor="text2"/>
        </w:rPr>
      </w:pPr>
      <w:r>
        <w:rPr>
          <w:rFonts w:asciiTheme="minorHAnsi" w:hAnsiTheme="minorHAnsi" w:cs="Arial"/>
          <w:b/>
          <w:color w:val="1F497D" w:themeColor="text2"/>
        </w:rPr>
        <w:br w:type="page"/>
      </w:r>
    </w:p>
    <w:p w:rsidR="00B04109" w:rsidRPr="00B04109" w:rsidRDefault="00B04109" w:rsidP="00B04109">
      <w:pPr>
        <w:rPr>
          <w:rFonts w:asciiTheme="minorHAnsi" w:hAnsiTheme="minorHAnsi" w:cs="Arial"/>
          <w:b/>
          <w:color w:val="1F497D" w:themeColor="text2"/>
        </w:rPr>
      </w:pPr>
      <w:r w:rsidRPr="00B04109">
        <w:rPr>
          <w:rFonts w:asciiTheme="minorHAnsi" w:hAnsiTheme="minorHAnsi" w:cs="Arial"/>
          <w:b/>
          <w:color w:val="1F497D" w:themeColor="text2"/>
        </w:rPr>
        <w:lastRenderedPageBreak/>
        <w:t>Unrestricted Current Ratio</w:t>
      </w:r>
    </w:p>
    <w:p w:rsidR="00B04109" w:rsidRPr="00F41349" w:rsidRDefault="00B04109" w:rsidP="00B04109">
      <w:pPr>
        <w:rPr>
          <w:rFonts w:cs="Arial"/>
          <w:b/>
          <w:color w:val="1F497D" w:themeColor="text2"/>
        </w:rPr>
      </w:pPr>
    </w:p>
    <w:p w:rsidR="00B04109" w:rsidRPr="00F41349" w:rsidRDefault="00B04109" w:rsidP="00B04109">
      <w:pPr>
        <w:rPr>
          <w:rFonts w:cs="Arial"/>
          <w:color w:val="1F497D" w:themeColor="text2"/>
        </w:rPr>
      </w:pPr>
      <w:r w:rsidRPr="00F41349">
        <w:rPr>
          <w:rFonts w:cs="Arial"/>
          <w:noProof/>
          <w:color w:val="1F497D" w:themeColor="text2"/>
        </w:rPr>
        <w:drawing>
          <wp:inline distT="0" distB="0" distL="0" distR="0" wp14:anchorId="6D9F189C" wp14:editId="0B801C40">
            <wp:extent cx="5762053" cy="2638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875" cy="2643838"/>
                    </a:xfrm>
                    <a:prstGeom prst="rect">
                      <a:avLst/>
                    </a:prstGeom>
                    <a:noFill/>
                  </pic:spPr>
                </pic:pic>
              </a:graphicData>
            </a:graphic>
          </wp:inline>
        </w:drawing>
      </w:r>
    </w:p>
    <w:p w:rsidR="00B04109" w:rsidRPr="00F41349" w:rsidRDefault="00B04109" w:rsidP="00B04109">
      <w:pPr>
        <w:rPr>
          <w:rFonts w:cs="Arial"/>
          <w:color w:val="1F497D" w:themeColor="text2"/>
        </w:rPr>
      </w:pPr>
    </w:p>
    <w:p w:rsidR="00B04109" w:rsidRPr="00F41349" w:rsidRDefault="00B04109" w:rsidP="00B04109">
      <w:pPr>
        <w:jc w:val="center"/>
        <w:rPr>
          <w:rFonts w:cs="Arial"/>
          <w:color w:val="1F497D" w:themeColor="text2"/>
        </w:rPr>
      </w:pPr>
      <w:r w:rsidRPr="00F41349">
        <w:rPr>
          <w:rFonts w:cs="Arial"/>
          <w:noProof/>
          <w:color w:val="1F497D" w:themeColor="text2"/>
        </w:rPr>
        <w:drawing>
          <wp:inline distT="0" distB="0" distL="0" distR="0" wp14:anchorId="4CC8753A" wp14:editId="414611D4">
            <wp:extent cx="5762625" cy="695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5925" cy="699343"/>
                    </a:xfrm>
                    <a:prstGeom prst="rect">
                      <a:avLst/>
                    </a:prstGeom>
                    <a:noFill/>
                    <a:ln>
                      <a:noFill/>
                    </a:ln>
                  </pic:spPr>
                </pic:pic>
              </a:graphicData>
            </a:graphic>
          </wp:inline>
        </w:drawing>
      </w:r>
    </w:p>
    <w:p w:rsidR="00B04109" w:rsidRPr="00F41349" w:rsidRDefault="00B04109" w:rsidP="00B04109">
      <w:pPr>
        <w:rPr>
          <w:rFonts w:cs="Arial"/>
          <w:color w:val="1F497D" w:themeColor="text2"/>
        </w:rPr>
      </w:pPr>
    </w:p>
    <w:p w:rsidR="00B04109" w:rsidRPr="00B04109" w:rsidRDefault="00B04109" w:rsidP="00B04109">
      <w:pPr>
        <w:pStyle w:val="Heading3"/>
        <w:numPr>
          <w:ilvl w:val="0"/>
          <w:numId w:val="0"/>
        </w:numPr>
        <w:rPr>
          <w:rFonts w:asciiTheme="minorHAnsi" w:hAnsiTheme="minorHAnsi"/>
          <w:b w:val="0"/>
          <w:color w:val="1F497D" w:themeColor="text2"/>
          <w:sz w:val="24"/>
          <w:szCs w:val="24"/>
        </w:rPr>
      </w:pPr>
      <w:bookmarkStart w:id="17" w:name="_Toc373852778"/>
      <w:r w:rsidRPr="00B04109">
        <w:rPr>
          <w:rFonts w:asciiTheme="minorHAnsi" w:hAnsiTheme="minorHAnsi"/>
          <w:color w:val="1F497D" w:themeColor="text2"/>
          <w:sz w:val="24"/>
          <w:szCs w:val="24"/>
        </w:rPr>
        <w:t>Operating Result</w:t>
      </w:r>
      <w:bookmarkEnd w:id="17"/>
    </w:p>
    <w:p w:rsidR="00B04109" w:rsidRPr="00F41349" w:rsidRDefault="00B04109" w:rsidP="00B04109">
      <w:pPr>
        <w:rPr>
          <w:rFonts w:cs="Arial"/>
          <w:color w:val="1F497D" w:themeColor="text2"/>
        </w:rPr>
      </w:pPr>
    </w:p>
    <w:p w:rsidR="00B04109" w:rsidRPr="00F41349" w:rsidRDefault="00B04109" w:rsidP="00B04109">
      <w:pPr>
        <w:jc w:val="center"/>
        <w:rPr>
          <w:rFonts w:cs="Arial"/>
          <w:color w:val="1F497D" w:themeColor="text2"/>
        </w:rPr>
      </w:pPr>
      <w:r w:rsidRPr="00F41349">
        <w:rPr>
          <w:rFonts w:cs="Arial"/>
          <w:noProof/>
          <w:color w:val="1F497D" w:themeColor="text2"/>
        </w:rPr>
        <w:drawing>
          <wp:inline distT="0" distB="0" distL="0" distR="0" wp14:anchorId="3826D11A" wp14:editId="4430992D">
            <wp:extent cx="5800725" cy="2838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6475" cy="2851050"/>
                    </a:xfrm>
                    <a:prstGeom prst="rect">
                      <a:avLst/>
                    </a:prstGeom>
                    <a:noFill/>
                  </pic:spPr>
                </pic:pic>
              </a:graphicData>
            </a:graphic>
          </wp:inline>
        </w:drawing>
      </w:r>
    </w:p>
    <w:p w:rsidR="00B04109" w:rsidRPr="00F41349" w:rsidRDefault="00B04109" w:rsidP="00B04109">
      <w:pPr>
        <w:rPr>
          <w:rFonts w:cs="Arial"/>
          <w:color w:val="1F497D" w:themeColor="text2"/>
        </w:rPr>
      </w:pPr>
    </w:p>
    <w:p w:rsidR="00B04109" w:rsidRPr="00F41349" w:rsidRDefault="00B04109" w:rsidP="00B04109">
      <w:pPr>
        <w:rPr>
          <w:rFonts w:cs="Arial"/>
          <w:color w:val="1F497D" w:themeColor="text2"/>
        </w:rPr>
      </w:pPr>
      <w:r w:rsidRPr="00F41349">
        <w:rPr>
          <w:rFonts w:cs="Arial"/>
          <w:noProof/>
          <w:color w:val="1F497D" w:themeColor="text2"/>
        </w:rPr>
        <w:drawing>
          <wp:inline distT="0" distB="0" distL="0" distR="0" wp14:anchorId="17713F2C" wp14:editId="6E913D12">
            <wp:extent cx="5857875" cy="6719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7161" cy="674118"/>
                    </a:xfrm>
                    <a:prstGeom prst="rect">
                      <a:avLst/>
                    </a:prstGeom>
                    <a:noFill/>
                    <a:ln>
                      <a:noFill/>
                    </a:ln>
                  </pic:spPr>
                </pic:pic>
              </a:graphicData>
            </a:graphic>
          </wp:inline>
        </w:drawing>
      </w:r>
    </w:p>
    <w:p w:rsidR="00B04109" w:rsidRPr="00F41349" w:rsidRDefault="00B04109" w:rsidP="00B04109">
      <w:pPr>
        <w:rPr>
          <w:rFonts w:cs="Arial"/>
          <w:color w:val="1F497D" w:themeColor="text2"/>
        </w:rPr>
      </w:pPr>
    </w:p>
    <w:p w:rsidR="00B04109" w:rsidRDefault="00B04109" w:rsidP="00B04109">
      <w:pPr>
        <w:rPr>
          <w:rFonts w:asciiTheme="minorHAnsi" w:hAnsiTheme="minorHAnsi" w:cs="Arial"/>
          <w:b/>
          <w:color w:val="1F497D" w:themeColor="text2"/>
        </w:rPr>
      </w:pPr>
    </w:p>
    <w:p w:rsidR="00B04109" w:rsidRPr="00B04109" w:rsidRDefault="00B04109" w:rsidP="00B04109">
      <w:pPr>
        <w:rPr>
          <w:rFonts w:asciiTheme="minorHAnsi" w:hAnsiTheme="minorHAnsi" w:cs="Arial"/>
          <w:b/>
          <w:color w:val="1F497D" w:themeColor="text2"/>
        </w:rPr>
      </w:pPr>
      <w:r w:rsidRPr="00B04109">
        <w:rPr>
          <w:rFonts w:asciiTheme="minorHAnsi" w:hAnsiTheme="minorHAnsi" w:cs="Arial"/>
          <w:b/>
          <w:color w:val="1F497D" w:themeColor="text2"/>
        </w:rPr>
        <w:lastRenderedPageBreak/>
        <w:t>Debt Service Ratio</w:t>
      </w:r>
    </w:p>
    <w:p w:rsidR="00B04109" w:rsidRPr="00F41349" w:rsidRDefault="00B04109" w:rsidP="00B04109">
      <w:pPr>
        <w:rPr>
          <w:rFonts w:cs="Arial"/>
          <w:b/>
          <w:color w:val="1F497D" w:themeColor="text2"/>
        </w:rPr>
      </w:pPr>
    </w:p>
    <w:p w:rsidR="00B04109" w:rsidRPr="00F41349" w:rsidRDefault="00B04109" w:rsidP="00B04109">
      <w:pPr>
        <w:rPr>
          <w:rFonts w:cs="Arial"/>
          <w:color w:val="1F497D" w:themeColor="text2"/>
        </w:rPr>
      </w:pPr>
      <w:r w:rsidRPr="00F41349">
        <w:rPr>
          <w:rFonts w:cs="Arial"/>
          <w:noProof/>
          <w:color w:val="1F497D" w:themeColor="text2"/>
        </w:rPr>
        <w:drawing>
          <wp:inline distT="0" distB="0" distL="0" distR="0" wp14:anchorId="54E0BD52" wp14:editId="4CCBCE47">
            <wp:extent cx="5857875" cy="2914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2829" cy="2927066"/>
                    </a:xfrm>
                    <a:prstGeom prst="rect">
                      <a:avLst/>
                    </a:prstGeom>
                    <a:noFill/>
                  </pic:spPr>
                </pic:pic>
              </a:graphicData>
            </a:graphic>
          </wp:inline>
        </w:drawing>
      </w:r>
    </w:p>
    <w:p w:rsidR="00B04109" w:rsidRPr="00F41349" w:rsidRDefault="00B04109" w:rsidP="00B04109">
      <w:pPr>
        <w:rPr>
          <w:rFonts w:cs="Arial"/>
          <w:color w:val="1F497D" w:themeColor="text2"/>
        </w:rPr>
      </w:pPr>
    </w:p>
    <w:p w:rsidR="00B04109" w:rsidRPr="00F41349" w:rsidRDefault="00B04109" w:rsidP="00B04109">
      <w:pPr>
        <w:rPr>
          <w:rFonts w:cs="Arial"/>
          <w:color w:val="1F497D" w:themeColor="text2"/>
        </w:rPr>
      </w:pPr>
      <w:r w:rsidRPr="00F41349">
        <w:rPr>
          <w:rFonts w:cs="Arial"/>
          <w:noProof/>
          <w:color w:val="1F497D" w:themeColor="text2"/>
        </w:rPr>
        <w:drawing>
          <wp:inline distT="0" distB="0" distL="0" distR="0" wp14:anchorId="41B54B51" wp14:editId="63172DE0">
            <wp:extent cx="5857875" cy="7712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6364" cy="773733"/>
                    </a:xfrm>
                    <a:prstGeom prst="rect">
                      <a:avLst/>
                    </a:prstGeom>
                    <a:noFill/>
                    <a:ln>
                      <a:noFill/>
                    </a:ln>
                  </pic:spPr>
                </pic:pic>
              </a:graphicData>
            </a:graphic>
          </wp:inline>
        </w:drawing>
      </w:r>
    </w:p>
    <w:p w:rsidR="005646CB" w:rsidRDefault="005646CB" w:rsidP="00B04109">
      <w:pPr>
        <w:rPr>
          <w:rFonts w:asciiTheme="minorHAnsi" w:hAnsiTheme="minorHAnsi" w:cs="Arial"/>
          <w:b/>
          <w:color w:val="1F497D" w:themeColor="text2"/>
        </w:rPr>
      </w:pPr>
    </w:p>
    <w:p w:rsidR="00B04109" w:rsidRPr="00B04109" w:rsidRDefault="00B04109" w:rsidP="00B04109">
      <w:pPr>
        <w:rPr>
          <w:rFonts w:asciiTheme="minorHAnsi" w:hAnsiTheme="minorHAnsi" w:cs="Arial"/>
          <w:b/>
          <w:color w:val="1F497D" w:themeColor="text2"/>
        </w:rPr>
      </w:pPr>
      <w:r w:rsidRPr="00B04109">
        <w:rPr>
          <w:rFonts w:asciiTheme="minorHAnsi" w:hAnsiTheme="minorHAnsi" w:cs="Arial"/>
          <w:b/>
          <w:color w:val="1F497D" w:themeColor="text2"/>
        </w:rPr>
        <w:t>Rates and Annual Charges Coverage Ratio</w:t>
      </w:r>
    </w:p>
    <w:p w:rsidR="00B04109" w:rsidRPr="00F41349" w:rsidRDefault="00B04109" w:rsidP="00B04109">
      <w:pPr>
        <w:rPr>
          <w:rFonts w:cs="Arial"/>
          <w:color w:val="1F497D" w:themeColor="text2"/>
        </w:rPr>
      </w:pPr>
    </w:p>
    <w:p w:rsidR="00B04109" w:rsidRPr="00F41349" w:rsidRDefault="00B04109" w:rsidP="00B04109">
      <w:pPr>
        <w:rPr>
          <w:rFonts w:eastAsia="Calibri" w:cs="Arial"/>
          <w:color w:val="1F497D" w:themeColor="text2"/>
        </w:rPr>
      </w:pPr>
      <w:r w:rsidRPr="00F41349">
        <w:rPr>
          <w:rFonts w:eastAsia="Calibri" w:cs="Arial"/>
          <w:noProof/>
          <w:color w:val="1F497D" w:themeColor="text2"/>
        </w:rPr>
        <w:drawing>
          <wp:inline distT="0" distB="0" distL="0" distR="0" wp14:anchorId="0B47E736" wp14:editId="607DA741">
            <wp:extent cx="5629275" cy="3000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0388" cy="3006298"/>
                    </a:xfrm>
                    <a:prstGeom prst="rect">
                      <a:avLst/>
                    </a:prstGeom>
                    <a:noFill/>
                  </pic:spPr>
                </pic:pic>
              </a:graphicData>
            </a:graphic>
          </wp:inline>
        </w:drawing>
      </w:r>
    </w:p>
    <w:p w:rsidR="00B04109" w:rsidRPr="00F41349" w:rsidRDefault="00B04109" w:rsidP="00B04109">
      <w:pPr>
        <w:rPr>
          <w:rFonts w:eastAsia="Calibri" w:cs="Arial"/>
          <w:color w:val="1F497D" w:themeColor="text2"/>
        </w:rPr>
      </w:pPr>
    </w:p>
    <w:p w:rsidR="00B04109" w:rsidRPr="00F41349" w:rsidRDefault="00B04109" w:rsidP="00B04109">
      <w:pPr>
        <w:rPr>
          <w:rFonts w:eastAsia="Calibri" w:cs="Arial"/>
          <w:color w:val="1F497D" w:themeColor="text2"/>
        </w:rPr>
      </w:pPr>
      <w:r w:rsidRPr="00F41349">
        <w:rPr>
          <w:rFonts w:eastAsia="Calibri" w:cs="Arial"/>
          <w:noProof/>
          <w:color w:val="1F497D" w:themeColor="text2"/>
        </w:rPr>
        <w:drawing>
          <wp:inline distT="0" distB="0" distL="0" distR="0" wp14:anchorId="4F8661FF" wp14:editId="716A575D">
            <wp:extent cx="5629275" cy="7712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7819" cy="772469"/>
                    </a:xfrm>
                    <a:prstGeom prst="rect">
                      <a:avLst/>
                    </a:prstGeom>
                    <a:noFill/>
                    <a:ln>
                      <a:noFill/>
                    </a:ln>
                  </pic:spPr>
                </pic:pic>
              </a:graphicData>
            </a:graphic>
          </wp:inline>
        </w:drawing>
      </w:r>
    </w:p>
    <w:p w:rsidR="00B04109" w:rsidRPr="00B04109" w:rsidRDefault="00B04109" w:rsidP="00B04109">
      <w:pPr>
        <w:rPr>
          <w:rFonts w:asciiTheme="minorHAnsi" w:hAnsiTheme="minorHAnsi" w:cs="Arial"/>
          <w:b/>
          <w:color w:val="1F497D" w:themeColor="text2"/>
        </w:rPr>
      </w:pPr>
      <w:r w:rsidRPr="00B04109">
        <w:rPr>
          <w:rFonts w:asciiTheme="minorHAnsi" w:hAnsiTheme="minorHAnsi" w:cs="Arial"/>
          <w:b/>
          <w:color w:val="1F497D" w:themeColor="text2"/>
        </w:rPr>
        <w:lastRenderedPageBreak/>
        <w:t>Building and Infrastructure Renewals Ratio</w:t>
      </w:r>
    </w:p>
    <w:p w:rsidR="00B04109" w:rsidRPr="00F41349" w:rsidRDefault="00B04109" w:rsidP="00B04109">
      <w:pPr>
        <w:rPr>
          <w:rFonts w:eastAsia="Calibri" w:cs="Arial"/>
          <w:color w:val="1F497D" w:themeColor="text2"/>
        </w:rPr>
      </w:pPr>
    </w:p>
    <w:p w:rsidR="00B04109" w:rsidRPr="00F41349" w:rsidRDefault="00B04109" w:rsidP="00B04109">
      <w:pPr>
        <w:rPr>
          <w:rFonts w:cs="Arial"/>
          <w:color w:val="1F497D" w:themeColor="text2"/>
        </w:rPr>
      </w:pPr>
      <w:r w:rsidRPr="00F41349">
        <w:rPr>
          <w:rFonts w:cs="Arial"/>
          <w:noProof/>
          <w:color w:val="1F497D" w:themeColor="text2"/>
        </w:rPr>
        <w:drawing>
          <wp:inline distT="0" distB="0" distL="0" distR="0" wp14:anchorId="17A681ED" wp14:editId="69D30D3A">
            <wp:extent cx="5629275" cy="28460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7540" cy="2850211"/>
                    </a:xfrm>
                    <a:prstGeom prst="rect">
                      <a:avLst/>
                    </a:prstGeom>
                    <a:noFill/>
                  </pic:spPr>
                </pic:pic>
              </a:graphicData>
            </a:graphic>
          </wp:inline>
        </w:drawing>
      </w:r>
    </w:p>
    <w:p w:rsidR="00B04109" w:rsidRPr="00F41349" w:rsidRDefault="00B04109" w:rsidP="00B04109">
      <w:pPr>
        <w:rPr>
          <w:rFonts w:eastAsia="Calibri" w:cs="Arial"/>
          <w:color w:val="1F497D" w:themeColor="text2"/>
        </w:rPr>
      </w:pPr>
    </w:p>
    <w:p w:rsidR="00B04109" w:rsidRPr="00F41349" w:rsidRDefault="00B04109" w:rsidP="00B04109">
      <w:pPr>
        <w:rPr>
          <w:rFonts w:eastAsia="Calibri" w:cs="Arial"/>
          <w:color w:val="1F497D" w:themeColor="text2"/>
        </w:rPr>
      </w:pPr>
    </w:p>
    <w:p w:rsidR="00B04109" w:rsidRPr="00F41349" w:rsidRDefault="00B04109" w:rsidP="00B04109">
      <w:pPr>
        <w:rPr>
          <w:rFonts w:cs="Arial"/>
          <w:b/>
          <w:color w:val="1F497D" w:themeColor="text2"/>
        </w:rPr>
        <w:sectPr w:rsidR="00B04109" w:rsidRPr="00F41349" w:rsidSect="00996F79">
          <w:pgSz w:w="11906" w:h="16838" w:code="9"/>
          <w:pgMar w:top="1440" w:right="1440" w:bottom="1440" w:left="1440" w:header="709" w:footer="709" w:gutter="0"/>
          <w:cols w:space="708"/>
          <w:docGrid w:linePitch="360"/>
        </w:sectPr>
      </w:pPr>
      <w:r w:rsidRPr="00F41349">
        <w:rPr>
          <w:rFonts w:eastAsia="Calibri" w:cs="Arial"/>
          <w:noProof/>
          <w:color w:val="1F497D" w:themeColor="text2"/>
        </w:rPr>
        <w:drawing>
          <wp:inline distT="0" distB="0" distL="0" distR="0" wp14:anchorId="60AF69BF" wp14:editId="4478B202">
            <wp:extent cx="5629275" cy="762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85457" cy="769605"/>
                    </a:xfrm>
                    <a:prstGeom prst="rect">
                      <a:avLst/>
                    </a:prstGeom>
                    <a:noFill/>
                    <a:ln>
                      <a:noFill/>
                    </a:ln>
                  </pic:spPr>
                </pic:pic>
              </a:graphicData>
            </a:graphic>
          </wp:inline>
        </w:drawing>
      </w:r>
    </w:p>
    <w:p w:rsidR="00E67DA2" w:rsidRDefault="00E815A0" w:rsidP="00901E22">
      <w:pPr>
        <w:pStyle w:val="Heading2"/>
        <w:spacing w:after="240"/>
        <w:ind w:left="0"/>
      </w:pPr>
      <w:bookmarkStart w:id="18" w:name="_Toc304287283"/>
      <w:bookmarkStart w:id="19" w:name="_Toc380956890"/>
      <w:r>
        <w:lastRenderedPageBreak/>
        <w:t>C</w:t>
      </w:r>
      <w:r w:rsidR="00E67DA2">
        <w:t xml:space="preserve">apital </w:t>
      </w:r>
      <w:r w:rsidR="00E67DA2" w:rsidRPr="005E5B1F">
        <w:t>e</w:t>
      </w:r>
      <w:r w:rsidR="00E67DA2">
        <w:t>xpenditure</w:t>
      </w:r>
      <w:bookmarkEnd w:id="18"/>
      <w:r>
        <w:t xml:space="preserve"> review</w:t>
      </w:r>
      <w:bookmarkEnd w:id="19"/>
    </w:p>
    <w:p w:rsidR="00E2788D" w:rsidRDefault="00BA4F49" w:rsidP="00901E22">
      <w:pPr>
        <w:pStyle w:val="BodyText"/>
      </w:pPr>
      <w:r w:rsidRPr="005F4D36">
        <w:t>C</w:t>
      </w:r>
      <w:r w:rsidR="00E11912" w:rsidRPr="005F4D36">
        <w:t>ouncils undertak</w:t>
      </w:r>
      <w:r w:rsidRPr="005F4D36">
        <w:t>ing</w:t>
      </w:r>
      <w:r w:rsidR="00E11912" w:rsidRPr="005F4D36">
        <w:t xml:space="preserve"> major capital projects </w:t>
      </w:r>
      <w:r w:rsidR="001E7392" w:rsidRPr="005F4D36">
        <w:t>are required</w:t>
      </w:r>
      <w:r w:rsidR="006B2B79" w:rsidRPr="005F4D36">
        <w:t xml:space="preserve"> to</w:t>
      </w:r>
      <w:r w:rsidRPr="005F4D36">
        <w:t xml:space="preserve"> comply with </w:t>
      </w:r>
      <w:r w:rsidR="00E2788D" w:rsidRPr="005F4D36">
        <w:t xml:space="preserve">the </w:t>
      </w:r>
      <w:r w:rsidR="001E7392" w:rsidRPr="005F4D36">
        <w:t xml:space="preserve">DLG’s </w:t>
      </w:r>
      <w:r w:rsidR="00E2788D" w:rsidRPr="005F4D36">
        <w:t xml:space="preserve">Capital Expenditure Guidelines, </w:t>
      </w:r>
      <w:r w:rsidR="00E11912" w:rsidRPr="005F4D36">
        <w:t>as</w:t>
      </w:r>
      <w:r w:rsidR="00E2788D" w:rsidRPr="005F4D36">
        <w:t xml:space="preserve"> outlined</w:t>
      </w:r>
      <w:r w:rsidR="00E11912" w:rsidRPr="005F4D36">
        <w:t xml:space="preserve"> in </w:t>
      </w:r>
      <w:r w:rsidR="001E7392" w:rsidRPr="005F4D36">
        <w:t xml:space="preserve">DLG </w:t>
      </w:r>
      <w:r w:rsidR="00E11912" w:rsidRPr="005F4D36">
        <w:t xml:space="preserve">Circular 10-34.  </w:t>
      </w:r>
      <w:r w:rsidR="00E2788D" w:rsidRPr="005F4D36">
        <w:t xml:space="preserve">A capital expenditure review is required for projects that are not exempt and cost in excess of 10% of council’s annual ordinary rates revenue or $1 million (GST exclusive), whichever is the greater.  </w:t>
      </w:r>
      <w:r w:rsidRPr="005F4D36">
        <w:t xml:space="preserve">A capital expenditure review is a necessary part of a council’s capital budgeting process and as such should </w:t>
      </w:r>
      <w:r w:rsidR="006B2B79" w:rsidRPr="005F4D36">
        <w:t xml:space="preserve">have </w:t>
      </w:r>
      <w:r w:rsidRPr="005F4D36">
        <w:t>be</w:t>
      </w:r>
      <w:r w:rsidR="006B2B79" w:rsidRPr="005F4D36">
        <w:t>en</w:t>
      </w:r>
      <w:r w:rsidRPr="005F4D36">
        <w:t xml:space="preserve"> undertaken as part of the Integrated Planning and Reporting requirements in the preparation of the Community Strategic Plan and Resourcing Strategy.</w:t>
      </w:r>
      <w:r w:rsidR="0003702A">
        <w:t xml:space="preserve">  </w:t>
      </w:r>
    </w:p>
    <w:p w:rsidR="00711455" w:rsidRPr="00711455" w:rsidRDefault="00711455" w:rsidP="00901E2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9"/>
        <w:gridCol w:w="1806"/>
      </w:tblGrid>
      <w:tr w:rsidR="00E67DA2" w:rsidTr="00280DB5">
        <w:trPr>
          <w:trHeight w:val="613"/>
        </w:trPr>
        <w:tc>
          <w:tcPr>
            <w:tcW w:w="6309" w:type="dxa"/>
          </w:tcPr>
          <w:p w:rsidR="00E67DA2" w:rsidRDefault="00E67DA2" w:rsidP="00901E22">
            <w:pPr>
              <w:pStyle w:val="BodyText"/>
              <w:tabs>
                <w:tab w:val="left" w:pos="5520"/>
              </w:tabs>
              <w:spacing w:before="0"/>
            </w:pPr>
            <w:r w:rsidRPr="00557678">
              <w:t xml:space="preserve">Does the proposed special variation require </w:t>
            </w:r>
            <w:r>
              <w:t>you to do a</w:t>
            </w:r>
            <w:r w:rsidRPr="00557678">
              <w:t xml:space="preserve"> capital expenditure review </w:t>
            </w:r>
            <w:r w:rsidR="00711455">
              <w:t xml:space="preserve">in accordance with </w:t>
            </w:r>
            <w:r w:rsidR="0021182F">
              <w:t xml:space="preserve">DLG </w:t>
            </w:r>
            <w:r w:rsidRPr="00BB4BDD">
              <w:t xml:space="preserve">Circular </w:t>
            </w:r>
            <w:r w:rsidR="0021182F">
              <w:t>to Councils, Circular No</w:t>
            </w:r>
            <w:r w:rsidR="00711455">
              <w:t xml:space="preserve"> </w:t>
            </w:r>
            <w:r w:rsidRPr="00BB4BDD">
              <w:t>10-34</w:t>
            </w:r>
            <w:r w:rsidR="0021182F">
              <w:t xml:space="preserve"> dated 20 December 2010</w:t>
            </w:r>
            <w:r w:rsidRPr="00BB4BDD">
              <w:t>?</w:t>
            </w:r>
          </w:p>
        </w:tc>
        <w:tc>
          <w:tcPr>
            <w:tcW w:w="1806" w:type="dxa"/>
            <w:vAlign w:val="bottom"/>
          </w:tcPr>
          <w:p w:rsidR="00E67DA2" w:rsidRDefault="00E67DA2" w:rsidP="00901E22">
            <w:pPr>
              <w:pStyle w:val="BodyText"/>
              <w:tabs>
                <w:tab w:val="left" w:pos="5520"/>
              </w:tabs>
              <w:jc w:val="right"/>
            </w:pPr>
            <w:r>
              <w:t xml:space="preserve">             </w:t>
            </w:r>
            <w:r w:rsidRPr="00557678">
              <w:t xml:space="preserve">                                                                                           </w:t>
            </w:r>
            <w:r>
              <w:t xml:space="preserve">                 </w:t>
            </w: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4B36A1">
              <w:rPr>
                <w:rFonts w:cs="Arial"/>
              </w:rPr>
            </w:r>
            <w:r w:rsidR="004B36A1">
              <w:rPr>
                <w:rFonts w:cs="Arial"/>
              </w:rPr>
              <w:fldChar w:fldCharType="separate"/>
            </w:r>
            <w:r>
              <w:rPr>
                <w:rFonts w:cs="Arial"/>
              </w:rPr>
              <w:fldChar w:fldCharType="end"/>
            </w:r>
            <w:r>
              <w:rPr>
                <w:rFonts w:cs="Arial"/>
              </w:rPr>
              <w:t xml:space="preserve">     No </w:t>
            </w:r>
            <w:r w:rsidR="00115AAE">
              <w:rPr>
                <w:rFonts w:cs="Arial"/>
              </w:rPr>
              <w:fldChar w:fldCharType="begin">
                <w:ffData>
                  <w:name w:val="Check7"/>
                  <w:enabled/>
                  <w:calcOnExit w:val="0"/>
                  <w:checkBox>
                    <w:sizeAuto/>
                    <w:default w:val="1"/>
                  </w:checkBox>
                </w:ffData>
              </w:fldChar>
            </w:r>
            <w:bookmarkStart w:id="20" w:name="Check7"/>
            <w:r w:rsidR="00115AAE">
              <w:rPr>
                <w:rFonts w:cs="Arial"/>
              </w:rPr>
              <w:instrText xml:space="preserve"> FORMCHECKBOX </w:instrText>
            </w:r>
            <w:r w:rsidR="004B36A1">
              <w:rPr>
                <w:rFonts w:cs="Arial"/>
              </w:rPr>
            </w:r>
            <w:r w:rsidR="004B36A1">
              <w:rPr>
                <w:rFonts w:cs="Arial"/>
              </w:rPr>
              <w:fldChar w:fldCharType="separate"/>
            </w:r>
            <w:r w:rsidR="00115AAE">
              <w:rPr>
                <w:rFonts w:cs="Arial"/>
              </w:rPr>
              <w:fldChar w:fldCharType="end"/>
            </w:r>
            <w:bookmarkEnd w:id="20"/>
          </w:p>
        </w:tc>
      </w:tr>
      <w:tr w:rsidR="00E67DA2" w:rsidTr="001B2CCD">
        <w:tc>
          <w:tcPr>
            <w:tcW w:w="6309" w:type="dxa"/>
          </w:tcPr>
          <w:p w:rsidR="00E67DA2" w:rsidRPr="00557678" w:rsidRDefault="00E67DA2" w:rsidP="00901E22">
            <w:pPr>
              <w:pStyle w:val="BodyText"/>
              <w:tabs>
                <w:tab w:val="left" w:pos="5520"/>
              </w:tabs>
            </w:pPr>
            <w:r>
              <w:t xml:space="preserve">If </w:t>
            </w:r>
            <w:r w:rsidRPr="00922DA8">
              <w:rPr>
                <w:i/>
              </w:rPr>
              <w:t>Yes</w:t>
            </w:r>
            <w:r>
              <w:t xml:space="preserve">, has </w:t>
            </w:r>
            <w:r w:rsidR="00280DB5">
              <w:t>a review been done and</w:t>
            </w:r>
            <w:r>
              <w:t xml:space="preserve"> </w:t>
            </w:r>
            <w:r w:rsidRPr="00104B1C">
              <w:t xml:space="preserve">submitted to </w:t>
            </w:r>
            <w:r w:rsidR="00280DB5">
              <w:t>DLG</w:t>
            </w:r>
            <w:r>
              <w:t>?</w:t>
            </w:r>
          </w:p>
        </w:tc>
        <w:tc>
          <w:tcPr>
            <w:tcW w:w="1806" w:type="dxa"/>
          </w:tcPr>
          <w:p w:rsidR="00E67DA2" w:rsidRDefault="00E67DA2" w:rsidP="00901E22">
            <w:pPr>
              <w:pStyle w:val="BodyText"/>
              <w:tabs>
                <w:tab w:val="left" w:pos="5520"/>
              </w:tabs>
              <w:jc w:val="right"/>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4B36A1">
              <w:rPr>
                <w:rFonts w:cs="Arial"/>
              </w:rPr>
            </w:r>
            <w:r w:rsidR="004B36A1">
              <w:rPr>
                <w:rFonts w:cs="Arial"/>
              </w:rPr>
              <w:fldChar w:fldCharType="separate"/>
            </w:r>
            <w:r>
              <w:rPr>
                <w:rFonts w:cs="Arial"/>
              </w:rPr>
              <w:fldChar w:fldCharType="end"/>
            </w:r>
            <w:r>
              <w:rPr>
                <w:rFonts w:cs="Arial"/>
              </w:rPr>
              <w:t xml:space="preserve">     No </w:t>
            </w:r>
            <w:r>
              <w:rPr>
                <w:rFonts w:cs="Arial"/>
              </w:rPr>
              <w:fldChar w:fldCharType="begin">
                <w:ffData>
                  <w:name w:val="Check7"/>
                  <w:enabled/>
                  <w:calcOnExit w:val="0"/>
                  <w:checkBox>
                    <w:sizeAuto/>
                    <w:default w:val="0"/>
                  </w:checkBox>
                </w:ffData>
              </w:fldChar>
            </w:r>
            <w:r>
              <w:rPr>
                <w:rFonts w:cs="Arial"/>
              </w:rPr>
              <w:instrText xml:space="preserve"> FORMCHECKBOX </w:instrText>
            </w:r>
            <w:r w:rsidR="004B36A1">
              <w:rPr>
                <w:rFonts w:cs="Arial"/>
              </w:rPr>
            </w:r>
            <w:r w:rsidR="004B36A1">
              <w:rPr>
                <w:rFonts w:cs="Arial"/>
              </w:rPr>
              <w:fldChar w:fldCharType="separate"/>
            </w:r>
            <w:r>
              <w:rPr>
                <w:rFonts w:cs="Arial"/>
              </w:rPr>
              <w:fldChar w:fldCharType="end"/>
            </w:r>
          </w:p>
        </w:tc>
      </w:tr>
    </w:tbl>
    <w:p w:rsidR="00B63E08" w:rsidRDefault="008E73E3" w:rsidP="00901E22">
      <w:pPr>
        <w:pStyle w:val="Heading1"/>
        <w:ind w:left="0"/>
      </w:pPr>
      <w:bookmarkStart w:id="21" w:name="_Toc380956891"/>
      <w:r>
        <w:t>Assessment c</w:t>
      </w:r>
      <w:r w:rsidR="00B82030">
        <w:t xml:space="preserve">riterion 2: </w:t>
      </w:r>
      <w:r w:rsidR="000431EA">
        <w:t xml:space="preserve">  </w:t>
      </w:r>
      <w:r w:rsidR="00B63E08" w:rsidRPr="00B17EC1">
        <w:t xml:space="preserve">Community </w:t>
      </w:r>
      <w:r>
        <w:t xml:space="preserve">awareness and </w:t>
      </w:r>
      <w:r w:rsidR="00B82030">
        <w:t>engagement</w:t>
      </w:r>
      <w:bookmarkEnd w:id="21"/>
    </w:p>
    <w:p w:rsidR="00610D80" w:rsidRPr="00B606B0" w:rsidRDefault="002F25A3" w:rsidP="00901E22">
      <w:pPr>
        <w:pStyle w:val="BodyText"/>
        <w:spacing w:after="240"/>
      </w:pPr>
      <w:r>
        <w:t xml:space="preserve">In the DLG Guidelines, criterion </w:t>
      </w:r>
      <w:r w:rsidR="00CE0169">
        <w:t>2</w:t>
      </w:r>
      <w:r>
        <w:t xml:space="preserve"> is:</w:t>
      </w:r>
    </w:p>
    <w:p w:rsidR="00600721" w:rsidRPr="002F25A3" w:rsidRDefault="00600721" w:rsidP="00901E22">
      <w:pPr>
        <w:pStyle w:val="BodyText"/>
        <w:spacing w:before="0" w:line="276" w:lineRule="auto"/>
        <w:rPr>
          <w:rFonts w:ascii="Arial" w:hAnsi="Arial" w:cs="Arial"/>
          <w:i/>
          <w:sz w:val="20"/>
          <w:szCs w:val="20"/>
        </w:rPr>
      </w:pPr>
      <w:proofErr w:type="gramStart"/>
      <w:r w:rsidRPr="002F25A3">
        <w:rPr>
          <w:rFonts w:ascii="Arial" w:hAnsi="Arial" w:cs="Arial"/>
          <w:i/>
          <w:sz w:val="20"/>
          <w:szCs w:val="20"/>
        </w:rPr>
        <w:t>Evidence that the community is aware of the need for and extent of a rate rise.</w:t>
      </w:r>
      <w:proofErr w:type="gramEnd"/>
      <w:r w:rsidRPr="002F25A3">
        <w:rPr>
          <w:rFonts w:ascii="Arial" w:hAnsi="Arial" w:cs="Arial"/>
          <w:i/>
          <w:sz w:val="20"/>
          <w:szCs w:val="20"/>
        </w:rPr>
        <w:t xml:space="preserve"> </w:t>
      </w:r>
      <w:r w:rsidR="00E1109E">
        <w:rPr>
          <w:rFonts w:ascii="Arial" w:hAnsi="Arial" w:cs="Arial"/>
          <w:i/>
          <w:sz w:val="20"/>
          <w:szCs w:val="20"/>
        </w:rPr>
        <w:t xml:space="preserve"> </w:t>
      </w:r>
      <w:r w:rsidRPr="002F25A3">
        <w:rPr>
          <w:rFonts w:ascii="Arial" w:hAnsi="Arial" w:cs="Arial"/>
          <w:i/>
          <w:sz w:val="20"/>
          <w:szCs w:val="20"/>
        </w:rPr>
        <w:t xml:space="preserve">This must be clearly spelt out in IP&amp;R documentation and the council must demonstrate an appropriate variety of engagement methods to ensure opportunity for community awareness/input. </w:t>
      </w:r>
      <w:r w:rsidR="00E1109E">
        <w:rPr>
          <w:rFonts w:ascii="Arial" w:hAnsi="Arial" w:cs="Arial"/>
          <w:i/>
          <w:sz w:val="20"/>
          <w:szCs w:val="20"/>
        </w:rPr>
        <w:t xml:space="preserve"> </w:t>
      </w:r>
      <w:r w:rsidRPr="002F25A3">
        <w:rPr>
          <w:rFonts w:ascii="Arial" w:hAnsi="Arial" w:cs="Arial"/>
          <w:i/>
          <w:sz w:val="20"/>
          <w:szCs w:val="20"/>
        </w:rPr>
        <w:t xml:space="preserve">The IP&amp;R documentation should canvas alternatives to a rate rise, the impact of any rises upon the community and the council’s consideration of the community’s capacity and willingness to pay rates. </w:t>
      </w:r>
      <w:r w:rsidR="00E1109E">
        <w:rPr>
          <w:rFonts w:ascii="Arial" w:hAnsi="Arial" w:cs="Arial"/>
          <w:i/>
          <w:sz w:val="20"/>
          <w:szCs w:val="20"/>
        </w:rPr>
        <w:t xml:space="preserve"> </w:t>
      </w:r>
      <w:r w:rsidRPr="002F25A3">
        <w:rPr>
          <w:rFonts w:ascii="Arial" w:hAnsi="Arial" w:cs="Arial"/>
          <w:i/>
          <w:sz w:val="20"/>
          <w:szCs w:val="20"/>
        </w:rPr>
        <w:t>The relevant IP&amp;R documents must be approved and adopted by the council before the council seeks IPART’s approval for a special variation to its general revenue.</w:t>
      </w:r>
    </w:p>
    <w:p w:rsidR="00457AAA" w:rsidRDefault="00BA4F49" w:rsidP="00901E22">
      <w:pPr>
        <w:pStyle w:val="BodyText"/>
      </w:pPr>
      <w:r>
        <w:t xml:space="preserve">To meet this criterion, councils </w:t>
      </w:r>
      <w:r w:rsidR="00025AC3">
        <w:t>must</w:t>
      </w:r>
      <w:r w:rsidR="00F701DD" w:rsidRPr="00B17EC1">
        <w:t xml:space="preserve"> </w:t>
      </w:r>
      <w:r w:rsidR="00025AC3">
        <w:t xml:space="preserve">provide evidence </w:t>
      </w:r>
      <w:r w:rsidR="00570C0F">
        <w:t xml:space="preserve">from </w:t>
      </w:r>
      <w:r w:rsidR="00457AAA">
        <w:t>the</w:t>
      </w:r>
      <w:r w:rsidR="00570C0F">
        <w:t xml:space="preserve"> IP&amp;R document</w:t>
      </w:r>
      <w:r w:rsidR="004910D2">
        <w:t>s</w:t>
      </w:r>
      <w:r w:rsidR="00610D80" w:rsidRPr="00610D80">
        <w:rPr>
          <w:rStyle w:val="FootnoteReference"/>
        </w:rPr>
        <w:footnoteReference w:id="2"/>
      </w:r>
      <w:r w:rsidR="00570C0F">
        <w:t xml:space="preserve"> </w:t>
      </w:r>
      <w:r w:rsidR="00025AC3">
        <w:t>that</w:t>
      </w:r>
      <w:r w:rsidR="002F25A3">
        <w:t xml:space="preserve"> the council has</w:t>
      </w:r>
      <w:r w:rsidR="00457AAA">
        <w:t>:</w:t>
      </w:r>
    </w:p>
    <w:p w:rsidR="00EA7F28" w:rsidRDefault="00AE3873" w:rsidP="00901E22">
      <w:pPr>
        <w:pStyle w:val="ListBullet"/>
        <w:ind w:left="0"/>
      </w:pPr>
      <w:r>
        <w:t>C</w:t>
      </w:r>
      <w:r w:rsidR="00D46F7C">
        <w:t>onsulted</w:t>
      </w:r>
      <w:r>
        <w:t xml:space="preserve"> and engaged</w:t>
      </w:r>
      <w:r w:rsidR="00D46F7C">
        <w:t xml:space="preserve"> </w:t>
      </w:r>
      <w:r w:rsidR="002F25A3">
        <w:t xml:space="preserve">the </w:t>
      </w:r>
      <w:r w:rsidR="0057731C">
        <w:t xml:space="preserve">community about the special variation </w:t>
      </w:r>
      <w:r w:rsidR="00610D80">
        <w:t xml:space="preserve">using a variety of </w:t>
      </w:r>
      <w:r>
        <w:t xml:space="preserve">engagement </w:t>
      </w:r>
      <w:r w:rsidR="00610D80">
        <w:t>methods</w:t>
      </w:r>
      <w:r w:rsidR="00E56562">
        <w:t xml:space="preserve"> and that </w:t>
      </w:r>
      <w:r w:rsidR="002F25A3">
        <w:t xml:space="preserve">the community </w:t>
      </w:r>
      <w:r w:rsidR="00457AAA">
        <w:t xml:space="preserve">is </w:t>
      </w:r>
      <w:r w:rsidR="00E56562">
        <w:t>aware of the need for</w:t>
      </w:r>
      <w:r w:rsidR="00570C0F">
        <w:t>,</w:t>
      </w:r>
      <w:r w:rsidR="00E56562">
        <w:t xml:space="preserve"> and extent of</w:t>
      </w:r>
      <w:r w:rsidR="00570C0F">
        <w:t>,</w:t>
      </w:r>
      <w:r w:rsidR="00E56562">
        <w:t xml:space="preserve"> </w:t>
      </w:r>
      <w:r w:rsidR="00EA7F28">
        <w:t xml:space="preserve">the </w:t>
      </w:r>
      <w:r w:rsidR="002F25A3">
        <w:t xml:space="preserve">requested </w:t>
      </w:r>
      <w:r w:rsidR="00E56562">
        <w:t>rate increases</w:t>
      </w:r>
    </w:p>
    <w:p w:rsidR="00457AAA" w:rsidRDefault="00EA7F28" w:rsidP="00901E22">
      <w:pPr>
        <w:pStyle w:val="ListBullet"/>
        <w:ind w:left="0"/>
      </w:pPr>
      <w:r>
        <w:t>considered and canvassed</w:t>
      </w:r>
      <w:r w:rsidR="00457AAA">
        <w:t xml:space="preserve"> alternatives to </w:t>
      </w:r>
      <w:r>
        <w:t>the special variation</w:t>
      </w:r>
    </w:p>
    <w:p w:rsidR="00457AAA" w:rsidRDefault="00AE3873" w:rsidP="00901E22">
      <w:pPr>
        <w:pStyle w:val="ListBullet"/>
        <w:ind w:left="0"/>
      </w:pPr>
      <w:r>
        <w:t xml:space="preserve">provided opportunities for input and </w:t>
      </w:r>
      <w:r w:rsidR="00457AAA">
        <w:t xml:space="preserve">gathered </w:t>
      </w:r>
      <w:r w:rsidR="00EA7F28">
        <w:t>input/</w:t>
      </w:r>
      <w:r w:rsidR="00457AAA">
        <w:t>feedback from the community</w:t>
      </w:r>
      <w:r w:rsidR="002F25A3">
        <w:t xml:space="preserve"> about the proposal</w:t>
      </w:r>
    </w:p>
    <w:p w:rsidR="00EA7F28" w:rsidRDefault="00457AAA" w:rsidP="00901E22">
      <w:pPr>
        <w:pStyle w:val="ListBullet"/>
        <w:ind w:left="0"/>
      </w:pPr>
      <w:r>
        <w:t xml:space="preserve">considered the </w:t>
      </w:r>
      <w:r w:rsidR="00EA7F28">
        <w:t>impact of rate rises on the community</w:t>
      </w:r>
    </w:p>
    <w:p w:rsidR="004910D2" w:rsidRDefault="00EA7F28" w:rsidP="00901E22">
      <w:pPr>
        <w:pStyle w:val="ListBullet"/>
        <w:ind w:left="0"/>
      </w:pPr>
      <w:proofErr w:type="gramStart"/>
      <w:r>
        <w:t>considered</w:t>
      </w:r>
      <w:proofErr w:type="gramEnd"/>
      <w:r>
        <w:t xml:space="preserve"> the </w:t>
      </w:r>
      <w:r w:rsidR="00457AAA">
        <w:t>community’s capacity and willingness to pay.</w:t>
      </w:r>
    </w:p>
    <w:p w:rsidR="0018753B" w:rsidRDefault="0018753B" w:rsidP="00901E22">
      <w:pPr>
        <w:pStyle w:val="BodyText"/>
      </w:pPr>
      <w:r>
        <w:lastRenderedPageBreak/>
        <w:t xml:space="preserve">In </w:t>
      </w:r>
      <w:r w:rsidR="00A73546">
        <w:t>assessing the</w:t>
      </w:r>
      <w:r>
        <w:t xml:space="preserve"> </w:t>
      </w:r>
      <w:r w:rsidR="00A73546">
        <w:t>evidence</w:t>
      </w:r>
      <w:r>
        <w:t xml:space="preserve">, we </w:t>
      </w:r>
      <w:r w:rsidR="00FB243F">
        <w:t xml:space="preserve">will </w:t>
      </w:r>
      <w:r>
        <w:t xml:space="preserve">consider </w:t>
      </w:r>
      <w:r w:rsidR="00A73546">
        <w:t>how</w:t>
      </w:r>
      <w:r>
        <w:t xml:space="preserve"> transparen</w:t>
      </w:r>
      <w:r w:rsidR="00A73546">
        <w:t xml:space="preserve">t </w:t>
      </w:r>
      <w:r w:rsidR="00FB243F">
        <w:t xml:space="preserve">the </w:t>
      </w:r>
      <w:r w:rsidR="00CA070F">
        <w:t>engagement</w:t>
      </w:r>
      <w:r>
        <w:t xml:space="preserve"> with the community has been</w:t>
      </w:r>
      <w:r w:rsidR="00A73546">
        <w:t>,</w:t>
      </w:r>
      <w:r>
        <w:t xml:space="preserve"> </w:t>
      </w:r>
      <w:r w:rsidR="006B1220">
        <w:t>especially in relation to explaining</w:t>
      </w:r>
      <w:r>
        <w:t>:</w:t>
      </w:r>
    </w:p>
    <w:p w:rsidR="0018753B" w:rsidRDefault="0018753B" w:rsidP="00901E22">
      <w:pPr>
        <w:pStyle w:val="ListBullet"/>
        <w:ind w:left="0"/>
      </w:pPr>
      <w:r>
        <w:t xml:space="preserve">the proposed </w:t>
      </w:r>
      <w:r w:rsidR="004910D2">
        <w:t xml:space="preserve">cumulative </w:t>
      </w:r>
      <w:r>
        <w:t>rate increases including the rate peg</w:t>
      </w:r>
      <w:r w:rsidR="00F5583F">
        <w:t xml:space="preserve"> (including </w:t>
      </w:r>
      <w:r w:rsidR="00FB243F">
        <w:t xml:space="preserve">in </w:t>
      </w:r>
      <w:r w:rsidR="00F5583F">
        <w:t>both percentage and dollar terms)</w:t>
      </w:r>
    </w:p>
    <w:p w:rsidR="00FB243F" w:rsidRDefault="00FB243F" w:rsidP="00901E22">
      <w:pPr>
        <w:pStyle w:val="ListBullet"/>
        <w:ind w:left="0"/>
      </w:pPr>
      <w:r>
        <w:t>the annual increase in rates that will result if the special variation is approved in full (and not just the increase in daily or weekly terms)</w:t>
      </w:r>
    </w:p>
    <w:p w:rsidR="0018753B" w:rsidRDefault="0018753B" w:rsidP="00901E22">
      <w:pPr>
        <w:pStyle w:val="ListBullet"/>
        <w:ind w:left="0"/>
      </w:pPr>
      <w:r>
        <w:t xml:space="preserve">the </w:t>
      </w:r>
      <w:r w:rsidR="004910D2">
        <w:t>size of any</w:t>
      </w:r>
      <w:r>
        <w:t xml:space="preserve"> expiring special variation (see </w:t>
      </w:r>
      <w:r w:rsidR="00570C0F">
        <w:t xml:space="preserve">Box 4.1 </w:t>
      </w:r>
      <w:r>
        <w:t>below)</w:t>
      </w:r>
    </w:p>
    <w:p w:rsidR="00FB243F" w:rsidRDefault="00FB243F" w:rsidP="00901E22">
      <w:pPr>
        <w:pStyle w:val="ListBullet"/>
        <w:ind w:left="0"/>
      </w:pPr>
      <w:r>
        <w:t>alternative rate levels that would apply without the special variation</w:t>
      </w:r>
    </w:p>
    <w:p w:rsidR="0018753B" w:rsidRDefault="0018753B" w:rsidP="00901E22">
      <w:pPr>
        <w:pStyle w:val="ListBullet"/>
        <w:ind w:left="0"/>
      </w:pPr>
      <w:proofErr w:type="gramStart"/>
      <w:r>
        <w:t>propos</w:t>
      </w:r>
      <w:r w:rsidR="004910D2">
        <w:t>ed</w:t>
      </w:r>
      <w:proofErr w:type="gramEnd"/>
      <w:r>
        <w:t xml:space="preserve"> increases </w:t>
      </w:r>
      <w:r w:rsidR="00B94C90">
        <w:t>in</w:t>
      </w:r>
      <w:r>
        <w:t xml:space="preserve"> any o</w:t>
      </w:r>
      <w:r w:rsidR="00B94C90">
        <w:t>ther council</w:t>
      </w:r>
      <w:r>
        <w:t xml:space="preserve"> charges</w:t>
      </w:r>
      <w:r w:rsidR="00B94C90">
        <w:t xml:space="preserve"> (</w:t>
      </w:r>
      <w:proofErr w:type="spellStart"/>
      <w:r w:rsidR="00B94C90">
        <w:t>eg</w:t>
      </w:r>
      <w:proofErr w:type="spellEnd"/>
      <w:r w:rsidR="00E1109E">
        <w:t>,</w:t>
      </w:r>
      <w:r w:rsidR="00B94C90">
        <w:t xml:space="preserve"> </w:t>
      </w:r>
      <w:r>
        <w:t>waste management</w:t>
      </w:r>
      <w:r w:rsidR="00F5583F">
        <w:t>, water and sewer</w:t>
      </w:r>
      <w:r w:rsidR="00B94C90">
        <w:t>)</w:t>
      </w:r>
      <w:r w:rsidR="006B1220">
        <w:t>, especially if these</w:t>
      </w:r>
      <w:r>
        <w:t xml:space="preserve"> are likely to exceed </w:t>
      </w:r>
      <w:r w:rsidR="00B94C90">
        <w:t xml:space="preserve">the </w:t>
      </w:r>
      <w:r w:rsidR="003515CF">
        <w:t>increase</w:t>
      </w:r>
      <w:r w:rsidR="006B1220">
        <w:t xml:space="preserve"> in the </w:t>
      </w:r>
      <w:r>
        <w:t>CPI</w:t>
      </w:r>
      <w:r w:rsidR="00B94C90">
        <w:t>.</w:t>
      </w:r>
    </w:p>
    <w:p w:rsidR="00A73546" w:rsidRDefault="00A73546" w:rsidP="00901E22">
      <w:pPr>
        <w:pStyle w:val="ListBullet"/>
        <w:numPr>
          <w:ilvl w:val="0"/>
          <w:numId w:val="0"/>
        </w:numPr>
      </w:pPr>
    </w:p>
    <w:tbl>
      <w:tblPr>
        <w:tblW w:w="8505" w:type="dxa"/>
        <w:tblLayout w:type="fixed"/>
        <w:tblCellMar>
          <w:left w:w="28" w:type="dxa"/>
          <w:right w:w="28" w:type="dxa"/>
        </w:tblCellMar>
        <w:tblLook w:val="0000" w:firstRow="0" w:lastRow="0" w:firstColumn="0" w:lastColumn="0" w:noHBand="0" w:noVBand="0"/>
      </w:tblPr>
      <w:tblGrid>
        <w:gridCol w:w="8505"/>
      </w:tblGrid>
      <w:tr w:rsidR="0018753B" w:rsidRPr="00122C88" w:rsidTr="00421A11">
        <w:trPr>
          <w:cantSplit/>
        </w:trPr>
        <w:tc>
          <w:tcPr>
            <w:tcW w:w="8505" w:type="dxa"/>
            <w:tcBorders>
              <w:top w:val="single" w:sz="24" w:space="0" w:color="7C7C7C"/>
            </w:tcBorders>
            <w:shd w:val="clear" w:color="auto" w:fill="auto"/>
            <w:tcMar>
              <w:left w:w="0" w:type="dxa"/>
              <w:right w:w="0" w:type="dxa"/>
            </w:tcMar>
          </w:tcPr>
          <w:p w:rsidR="0018753B" w:rsidRPr="00131AFC" w:rsidRDefault="0018753B" w:rsidP="00421A11">
            <w:pPr>
              <w:pStyle w:val="BoxTitle"/>
              <w:keepNext w:val="0"/>
              <w:keepLines/>
              <w:tabs>
                <w:tab w:val="num" w:pos="454"/>
              </w:tabs>
              <w:spacing w:before="40" w:after="40" w:line="210" w:lineRule="atLeast"/>
              <w:ind w:left="0" w:firstLine="0"/>
            </w:pPr>
            <w:r>
              <w:fldChar w:fldCharType="begin"/>
            </w:r>
            <w:r>
              <w:instrText xml:space="preserve"> IF 1 = 1 "Box </w:instrText>
            </w:r>
            <w:r>
              <w:fldChar w:fldCharType="begin"/>
            </w:r>
            <w:r>
              <w:instrText xml:space="preserve"> IF </w:instrText>
            </w:r>
            <w:fldSimple w:instr=" STYLEREF &quot;Heading 6&quot; \l \n ">
              <w:r w:rsidR="004235D0">
                <w:rPr>
                  <w:noProof/>
                </w:rPr>
                <w:instrText>0</w:instrText>
              </w:r>
            </w:fldSimple>
            <w:r>
              <w:instrText xml:space="preserve"> = 0 "</w:instrText>
            </w:r>
            <w:r>
              <w:fldChar w:fldCharType="begin"/>
            </w:r>
            <w:r>
              <w:instrText xml:space="preserve"> IF </w:instrText>
            </w:r>
            <w:fldSimple w:instr=" STYLEREF &quot;Heading 1&quot; \l \n ">
              <w:r w:rsidR="004235D0">
                <w:rPr>
                  <w:noProof/>
                </w:rPr>
                <w:instrText>4</w:instrText>
              </w:r>
            </w:fldSimple>
            <w:r>
              <w:instrText xml:space="preserve"> = 0 "" "</w:instrText>
            </w:r>
            <w:fldSimple w:instr=" STYLEREF &quot;Heading 1&quot; \l \n ">
              <w:r w:rsidR="004235D0">
                <w:rPr>
                  <w:noProof/>
                </w:rPr>
                <w:instrText>4</w:instrText>
              </w:r>
            </w:fldSimple>
            <w:r>
              <w:instrText xml:space="preserve">." </w:instrText>
            </w:r>
            <w:r>
              <w:fldChar w:fldCharType="separate"/>
            </w:r>
            <w:r w:rsidR="004235D0">
              <w:rPr>
                <w:noProof/>
              </w:rPr>
              <w:instrText>4.</w:instrText>
            </w:r>
            <w:r>
              <w:fldChar w:fldCharType="end"/>
            </w:r>
            <w:r>
              <w:instrText>" "</w:instrText>
            </w:r>
            <w:r>
              <w:fldChar w:fldCharType="begin"/>
            </w:r>
            <w:r>
              <w:instrText xml:space="preserve"> STYLEREF "Heading 6" \l \n </w:instrText>
            </w:r>
            <w:r>
              <w:fldChar w:fldCharType="separate"/>
            </w:r>
            <w:r>
              <w:rPr>
                <w:b w:val="0"/>
                <w:bCs/>
                <w:noProof/>
                <w:lang w:val="en-US"/>
              </w:rPr>
              <w:instrText>Error! No text of specified style in document.</w:instrText>
            </w:r>
            <w:r>
              <w:fldChar w:fldCharType="end"/>
            </w:r>
            <w:r>
              <w:instrText xml:space="preserve">." </w:instrText>
            </w:r>
            <w:r>
              <w:fldChar w:fldCharType="separate"/>
            </w:r>
            <w:r w:rsidR="004235D0">
              <w:rPr>
                <w:noProof/>
              </w:rPr>
              <w:instrText>4.</w:instrText>
            </w:r>
            <w:r>
              <w:fldChar w:fldCharType="end"/>
            </w:r>
            <w:r>
              <w:fldChar w:fldCharType="begin"/>
            </w:r>
            <w:r>
              <w:instrText xml:space="preserve"> SEQ Box \* ARABIC \s </w:instrText>
            </w:r>
            <w:r>
              <w:fldChar w:fldCharType="begin"/>
            </w:r>
            <w:r>
              <w:instrText xml:space="preserve"> IF </w:instrText>
            </w:r>
            <w:fldSimple w:instr=" STYLEREF &quot;Heading 6&quot; \l \n ">
              <w:r w:rsidR="004235D0">
                <w:rPr>
                  <w:noProof/>
                </w:rPr>
                <w:instrText>0</w:instrText>
              </w:r>
            </w:fldSimple>
            <w:r>
              <w:instrText xml:space="preserve"> = 0 "</w:instrText>
            </w:r>
            <w:r>
              <w:fldChar w:fldCharType="begin"/>
            </w:r>
            <w:r>
              <w:instrText xml:space="preserve"> IF </w:instrText>
            </w:r>
            <w:fldSimple w:instr=" STYLEREF &quot;Heading 1&quot; \l \n ">
              <w:r w:rsidR="004235D0">
                <w:rPr>
                  <w:noProof/>
                </w:rPr>
                <w:instrText>4</w:instrText>
              </w:r>
            </w:fldSimple>
            <w:r>
              <w:instrText xml:space="preserve"> = 0 "" "1" </w:instrText>
            </w:r>
            <w:r>
              <w:fldChar w:fldCharType="separate"/>
            </w:r>
            <w:r w:rsidR="004235D0">
              <w:rPr>
                <w:noProof/>
              </w:rPr>
              <w:instrText>1</w:instrText>
            </w:r>
            <w:r>
              <w:fldChar w:fldCharType="end"/>
            </w:r>
            <w:r>
              <w:instrText xml:space="preserve">" "6" </w:instrText>
            </w:r>
            <w:r>
              <w:fldChar w:fldCharType="separate"/>
            </w:r>
            <w:r w:rsidR="004235D0">
              <w:rPr>
                <w:noProof/>
              </w:rPr>
              <w:instrText>1</w:instrText>
            </w:r>
            <w:r>
              <w:fldChar w:fldCharType="end"/>
            </w:r>
            <w:r>
              <w:instrText xml:space="preserve"> </w:instrText>
            </w:r>
            <w:r>
              <w:fldChar w:fldCharType="separate"/>
            </w:r>
            <w:r w:rsidR="004235D0">
              <w:rPr>
                <w:noProof/>
              </w:rPr>
              <w:instrText>1</w:instrText>
            </w:r>
            <w:r>
              <w:fldChar w:fldCharType="end"/>
            </w:r>
            <w:r>
              <w:instrText xml:space="preserve">" "" </w:instrText>
            </w:r>
            <w:r>
              <w:fldChar w:fldCharType="separate"/>
            </w:r>
            <w:bookmarkStart w:id="22" w:name="_Box6820"/>
            <w:r w:rsidR="004235D0">
              <w:rPr>
                <w:noProof/>
              </w:rPr>
              <w:t>Box 4.1</w:t>
            </w:r>
            <w:bookmarkEnd w:id="22"/>
            <w:r>
              <w:fldChar w:fldCharType="end"/>
            </w:r>
            <w:r w:rsidRPr="00122C88">
              <w:tab/>
            </w:r>
            <w:r w:rsidR="00E1109E">
              <w:t xml:space="preserve">Where a council is </w:t>
            </w:r>
            <w:r>
              <w:t>renew</w:t>
            </w:r>
            <w:r w:rsidR="006B1220">
              <w:t>ing</w:t>
            </w:r>
            <w:r>
              <w:t xml:space="preserve"> or replac</w:t>
            </w:r>
            <w:r w:rsidR="006B1220">
              <w:t>ing</w:t>
            </w:r>
            <w:r>
              <w:t xml:space="preserve"> an expiring special variation</w:t>
            </w:r>
          </w:p>
        </w:tc>
      </w:tr>
      <w:tr w:rsidR="0018753B" w:rsidRPr="00385582" w:rsidTr="00421A11">
        <w:trPr>
          <w:cantSplit/>
          <w:trHeight w:val="2752"/>
        </w:trPr>
        <w:tc>
          <w:tcPr>
            <w:tcW w:w="8505" w:type="dxa"/>
            <w:shd w:val="clear" w:color="auto" w:fill="auto"/>
            <w:tcMar>
              <w:left w:w="0" w:type="dxa"/>
              <w:right w:w="0" w:type="dxa"/>
            </w:tcMar>
          </w:tcPr>
          <w:p w:rsidR="0018753B" w:rsidRPr="00385582" w:rsidRDefault="00BC076A" w:rsidP="00901E22">
            <w:pPr>
              <w:pStyle w:val="BoxText"/>
            </w:pPr>
            <w:r w:rsidRPr="00385582">
              <w:t>The council</w:t>
            </w:r>
            <w:r w:rsidR="00B94C90" w:rsidRPr="00385582">
              <w:t xml:space="preserve"> should </w:t>
            </w:r>
            <w:r w:rsidR="006B1220" w:rsidRPr="00385582">
              <w:t xml:space="preserve">have </w:t>
            </w:r>
            <w:r w:rsidR="00B94C90" w:rsidRPr="00385582">
              <w:t>explain</w:t>
            </w:r>
            <w:r w:rsidR="006B1220" w:rsidRPr="00385582">
              <w:t>ed</w:t>
            </w:r>
            <w:r w:rsidRPr="00385582">
              <w:t xml:space="preserve"> to its community</w:t>
            </w:r>
            <w:r w:rsidR="0018753B" w:rsidRPr="00385582">
              <w:t>:</w:t>
            </w:r>
          </w:p>
          <w:p w:rsidR="0018753B" w:rsidRPr="00385582" w:rsidRDefault="0018753B" w:rsidP="00421A11">
            <w:pPr>
              <w:pStyle w:val="BoxListBullet"/>
              <w:tabs>
                <w:tab w:val="num" w:pos="284"/>
              </w:tabs>
              <w:ind w:left="0" w:firstLine="0"/>
            </w:pPr>
            <w:r w:rsidRPr="00385582">
              <w:t xml:space="preserve">that there is a special variation due to expire </w:t>
            </w:r>
            <w:r w:rsidR="00B94C90" w:rsidRPr="00385582">
              <w:t xml:space="preserve">at the end of this financial year or </w:t>
            </w:r>
            <w:r w:rsidRPr="00385582">
              <w:t xml:space="preserve">during the period covered by the </w:t>
            </w:r>
            <w:r w:rsidR="00B94C90" w:rsidRPr="00385582">
              <w:t>proposed</w:t>
            </w:r>
            <w:r w:rsidRPr="00385582">
              <w:t xml:space="preserve"> special variation</w:t>
            </w:r>
          </w:p>
          <w:p w:rsidR="0018753B" w:rsidRPr="00385582" w:rsidRDefault="0018753B" w:rsidP="00421A11">
            <w:pPr>
              <w:pStyle w:val="BoxListBullet"/>
              <w:tabs>
                <w:tab w:val="num" w:pos="284"/>
              </w:tabs>
              <w:ind w:left="0" w:firstLine="0"/>
            </w:pPr>
            <w:r w:rsidRPr="00385582">
              <w:t xml:space="preserve">that, if the special variation were not approved </w:t>
            </w:r>
            <w:r w:rsidR="00B94C90" w:rsidRPr="00385582">
              <w:t xml:space="preserve">so that </w:t>
            </w:r>
            <w:r w:rsidRPr="00385582">
              <w:t xml:space="preserve">only the rate peg applied, the year-on-year </w:t>
            </w:r>
            <w:r w:rsidR="006B1220" w:rsidRPr="00385582">
              <w:t>change</w:t>
            </w:r>
            <w:r w:rsidRPr="00385582">
              <w:t xml:space="preserve"> in rates would be </w:t>
            </w:r>
            <w:r w:rsidR="00B94C90" w:rsidRPr="00385582">
              <w:t>lower</w:t>
            </w:r>
            <w:r w:rsidRPr="00385582">
              <w:t xml:space="preserve">, or </w:t>
            </w:r>
            <w:r w:rsidR="00B94C90" w:rsidRPr="00385582">
              <w:t xml:space="preserve">that </w:t>
            </w:r>
            <w:r w:rsidR="00FB243F" w:rsidRPr="00385582">
              <w:t xml:space="preserve">rates </w:t>
            </w:r>
            <w:r w:rsidR="006B1220" w:rsidRPr="00385582">
              <w:t>m</w:t>
            </w:r>
            <w:r w:rsidR="00FB243F" w:rsidRPr="00385582">
              <w:t>ay</w:t>
            </w:r>
            <w:r w:rsidR="006B1220" w:rsidRPr="00385582">
              <w:t xml:space="preserve"> fall</w:t>
            </w:r>
          </w:p>
          <w:p w:rsidR="0018753B" w:rsidRPr="00385582" w:rsidRDefault="0018753B" w:rsidP="00421A11">
            <w:pPr>
              <w:pStyle w:val="BoxListBullet"/>
              <w:tabs>
                <w:tab w:val="num" w:pos="284"/>
              </w:tabs>
              <w:ind w:left="0" w:firstLine="0"/>
            </w:pPr>
            <w:r w:rsidRPr="00385582">
              <w:t xml:space="preserve">if applicable, that the expiring special variation is being </w:t>
            </w:r>
            <w:r w:rsidR="00B94C90" w:rsidRPr="00385582">
              <w:t xml:space="preserve">continued </w:t>
            </w:r>
            <w:r w:rsidR="00FB243F" w:rsidRPr="00385582">
              <w:t xml:space="preserve">(in full or in part), </w:t>
            </w:r>
            <w:r w:rsidR="00B94C90" w:rsidRPr="00385582">
              <w:t xml:space="preserve">in the sense that it is being </w:t>
            </w:r>
            <w:r w:rsidRPr="00385582">
              <w:t>replaced</w:t>
            </w:r>
            <w:r w:rsidR="00B94C90" w:rsidRPr="00385582">
              <w:t xml:space="preserve"> with another </w:t>
            </w:r>
            <w:r w:rsidR="006B1220" w:rsidRPr="00385582">
              <w:t xml:space="preserve">that may be either </w:t>
            </w:r>
            <w:r w:rsidR="00B94C90" w:rsidRPr="00385582">
              <w:t>temporary</w:t>
            </w:r>
            <w:r w:rsidR="00536DDB" w:rsidRPr="00385582">
              <w:t xml:space="preserve"> </w:t>
            </w:r>
            <w:r w:rsidR="006B1220" w:rsidRPr="00385582">
              <w:t>or</w:t>
            </w:r>
            <w:r w:rsidRPr="00385582">
              <w:t xml:space="preserve"> permanent</w:t>
            </w:r>
            <w:r w:rsidR="00FB243F" w:rsidRPr="00385582">
              <w:t>, or that the value is included in the percentage increase being requested in the following year</w:t>
            </w:r>
            <w:r w:rsidR="006B1220" w:rsidRPr="00385582">
              <w:t>.</w:t>
            </w:r>
          </w:p>
        </w:tc>
      </w:tr>
      <w:tr w:rsidR="0018753B" w:rsidTr="00421A11">
        <w:trPr>
          <w:cantSplit/>
          <w:trHeight w:hRule="exact" w:val="198"/>
        </w:trPr>
        <w:tc>
          <w:tcPr>
            <w:tcW w:w="8505" w:type="dxa"/>
            <w:tcBorders>
              <w:bottom w:val="single" w:sz="24" w:space="0" w:color="7C7C7C"/>
            </w:tcBorders>
            <w:shd w:val="clear" w:color="auto" w:fill="auto"/>
            <w:tcMar>
              <w:left w:w="0" w:type="dxa"/>
              <w:right w:w="0" w:type="dxa"/>
            </w:tcMar>
          </w:tcPr>
          <w:p w:rsidR="0018753B" w:rsidRDefault="0018753B" w:rsidP="00901E22">
            <w:pPr>
              <w:pStyle w:val="Source"/>
              <w:keepNext/>
            </w:pPr>
          </w:p>
        </w:tc>
      </w:tr>
    </w:tbl>
    <w:p w:rsidR="00A0335A" w:rsidRDefault="00536DDB" w:rsidP="00901E22">
      <w:pPr>
        <w:pStyle w:val="BodyText"/>
      </w:pPr>
      <w:r>
        <w:t>More information about how community engagement might best be approached may be found in the</w:t>
      </w:r>
      <w:r w:rsidR="00A0335A" w:rsidRPr="00DA0321">
        <w:t xml:space="preserve"> DLG </w:t>
      </w:r>
      <w:r w:rsidR="00DA0321" w:rsidRPr="00536DDB">
        <w:rPr>
          <w:i/>
        </w:rPr>
        <w:t>Guidelines</w:t>
      </w:r>
      <w:r w:rsidR="00CA3CC1">
        <w:t>, the</w:t>
      </w:r>
      <w:r w:rsidR="00DA0321" w:rsidRPr="00DA0321">
        <w:t xml:space="preserve"> IP&amp;R manual, and </w:t>
      </w:r>
      <w:r>
        <w:t>our</w:t>
      </w:r>
      <w:r w:rsidR="003515CF">
        <w:t xml:space="preserve"> F</w:t>
      </w:r>
      <w:r w:rsidR="00A0335A" w:rsidRPr="00DA0321">
        <w:t xml:space="preserve">act </w:t>
      </w:r>
      <w:r w:rsidR="003515CF">
        <w:t>S</w:t>
      </w:r>
      <w:r w:rsidR="00A0335A" w:rsidRPr="00DA0321">
        <w:t xml:space="preserve">heet </w:t>
      </w:r>
      <w:r w:rsidR="003515CF" w:rsidRPr="003515CF">
        <w:rPr>
          <w:i/>
        </w:rPr>
        <w:t>C</w:t>
      </w:r>
      <w:r w:rsidR="00A0335A" w:rsidRPr="003515CF">
        <w:rPr>
          <w:i/>
        </w:rPr>
        <w:t xml:space="preserve">ommunity </w:t>
      </w:r>
      <w:r w:rsidR="003515CF" w:rsidRPr="003515CF">
        <w:rPr>
          <w:i/>
        </w:rPr>
        <w:t>Awareness and E</w:t>
      </w:r>
      <w:r w:rsidR="00CA070F" w:rsidRPr="003515CF">
        <w:rPr>
          <w:i/>
        </w:rPr>
        <w:t>ngagement</w:t>
      </w:r>
      <w:r w:rsidR="003515CF">
        <w:t>, September 2013</w:t>
      </w:r>
      <w:r>
        <w:t>.</w:t>
      </w:r>
    </w:p>
    <w:p w:rsidR="00DF31B7" w:rsidRPr="00B17EC1" w:rsidRDefault="00DF31B7" w:rsidP="00901E22">
      <w:pPr>
        <w:pStyle w:val="Heading2"/>
        <w:ind w:left="0"/>
        <w:rPr>
          <w:bCs/>
        </w:rPr>
      </w:pPr>
      <w:bookmarkStart w:id="23" w:name="_Toc380956892"/>
      <w:r w:rsidRPr="00B17EC1">
        <w:rPr>
          <w:bCs/>
        </w:rPr>
        <w:t>The consultation strategy</w:t>
      </w:r>
      <w:bookmarkEnd w:id="23"/>
    </w:p>
    <w:p w:rsidR="00C95E68" w:rsidRDefault="001B2CCD" w:rsidP="00901E22">
      <w:pPr>
        <w:pStyle w:val="BodyText"/>
      </w:pPr>
      <w:r>
        <w:t>P</w:t>
      </w:r>
      <w:r w:rsidR="00F701DD" w:rsidRPr="00B17EC1">
        <w:t xml:space="preserve">rovide details of the </w:t>
      </w:r>
      <w:r w:rsidR="00DF31B7" w:rsidRPr="00B17EC1">
        <w:t xml:space="preserve">consultation strategy </w:t>
      </w:r>
      <w:r w:rsidR="00B63E08" w:rsidRPr="00B17EC1">
        <w:t>undertaken</w:t>
      </w:r>
      <w:r w:rsidR="00DF31B7" w:rsidRPr="00B17EC1">
        <w:t xml:space="preserve">, including the </w:t>
      </w:r>
      <w:r w:rsidR="00F701DD" w:rsidRPr="00B17EC1">
        <w:t xml:space="preserve">range of methods used to inform the community </w:t>
      </w:r>
      <w:r w:rsidR="000B52B5">
        <w:t>about</w:t>
      </w:r>
      <w:r w:rsidR="00F701DD" w:rsidRPr="00B17EC1">
        <w:t xml:space="preserve"> the </w:t>
      </w:r>
      <w:r>
        <w:t xml:space="preserve">proposed </w:t>
      </w:r>
      <w:r w:rsidR="00F701DD" w:rsidRPr="00B17EC1">
        <w:t xml:space="preserve">special variation and to </w:t>
      </w:r>
      <w:r w:rsidR="00AE3873">
        <w:t xml:space="preserve">engage with the community and </w:t>
      </w:r>
      <w:r w:rsidR="00F701DD" w:rsidRPr="00B17EC1">
        <w:t xml:space="preserve">obtain community </w:t>
      </w:r>
      <w:r w:rsidR="00474891">
        <w:t>input</w:t>
      </w:r>
      <w:r w:rsidR="00F701DD" w:rsidRPr="00B17EC1">
        <w:t xml:space="preserve"> </w:t>
      </w:r>
      <w:r w:rsidR="00FB243F">
        <w:t xml:space="preserve">and feedback </w:t>
      </w:r>
      <w:r w:rsidR="00F701DD" w:rsidRPr="00B17EC1">
        <w:t xml:space="preserve">on </w:t>
      </w:r>
      <w:r>
        <w:t xml:space="preserve">it.  The range </w:t>
      </w:r>
      <w:r w:rsidR="00FB243F">
        <w:t xml:space="preserve">of engagement activities could </w:t>
      </w:r>
      <w:r>
        <w:t>include med</w:t>
      </w:r>
      <w:r w:rsidR="00474891">
        <w:t>ia release</w:t>
      </w:r>
      <w:r w:rsidR="00536DDB">
        <w:t>s</w:t>
      </w:r>
      <w:r w:rsidR="00474891">
        <w:t>,</w:t>
      </w:r>
      <w:r w:rsidR="00474891" w:rsidRPr="00B17EC1">
        <w:t xml:space="preserve"> </w:t>
      </w:r>
      <w:r w:rsidR="00474891">
        <w:t>mail out</w:t>
      </w:r>
      <w:r w:rsidR="00536DDB">
        <w:t>s</w:t>
      </w:r>
      <w:r>
        <w:t>,</w:t>
      </w:r>
      <w:r w:rsidR="00474891">
        <w:t xml:space="preserve"> </w:t>
      </w:r>
      <w:r w:rsidR="00474891" w:rsidRPr="00B17EC1">
        <w:t>focus group</w:t>
      </w:r>
      <w:r w:rsidR="00536DDB">
        <w:t>s</w:t>
      </w:r>
      <w:r w:rsidR="00474891">
        <w:t>,</w:t>
      </w:r>
      <w:r w:rsidR="00474891" w:rsidRPr="00B17EC1">
        <w:t xml:space="preserve"> </w:t>
      </w:r>
      <w:r w:rsidR="00536DDB">
        <w:t xml:space="preserve">random </w:t>
      </w:r>
      <w:r w:rsidR="00921425" w:rsidRPr="000403F0">
        <w:t xml:space="preserve">or opt-in </w:t>
      </w:r>
      <w:r w:rsidR="005A5219" w:rsidRPr="000403F0">
        <w:t>survey</w:t>
      </w:r>
      <w:r w:rsidR="00536DDB" w:rsidRPr="000403F0">
        <w:t>s</w:t>
      </w:r>
      <w:r w:rsidR="005A5219" w:rsidRPr="000403F0">
        <w:t>, online discussion</w:t>
      </w:r>
      <w:r w:rsidR="00536DDB" w:rsidRPr="000403F0">
        <w:t>s</w:t>
      </w:r>
      <w:r w:rsidR="005A5219" w:rsidRPr="000403F0">
        <w:t xml:space="preserve">, </w:t>
      </w:r>
      <w:r w:rsidR="00536DDB" w:rsidRPr="000403F0">
        <w:t>public</w:t>
      </w:r>
      <w:r w:rsidR="005A5219" w:rsidRPr="000403F0">
        <w:t xml:space="preserve"> meeting</w:t>
      </w:r>
      <w:r w:rsidR="00536DDB" w:rsidRPr="000403F0">
        <w:t>s</w:t>
      </w:r>
      <w:r w:rsidR="005A5219" w:rsidRPr="000403F0">
        <w:t>,</w:t>
      </w:r>
      <w:r w:rsidR="00CA3CC1" w:rsidRPr="000403F0">
        <w:t xml:space="preserve"> </w:t>
      </w:r>
      <w:r w:rsidR="00A05323" w:rsidRPr="000403F0">
        <w:t>newspaper advertisement</w:t>
      </w:r>
      <w:r w:rsidR="00536DDB" w:rsidRPr="000403F0">
        <w:t>s</w:t>
      </w:r>
      <w:r w:rsidR="00B63E08" w:rsidRPr="000403F0">
        <w:t xml:space="preserve"> </w:t>
      </w:r>
      <w:r w:rsidRPr="000403F0">
        <w:t>and</w:t>
      </w:r>
      <w:r w:rsidR="00A05323" w:rsidRPr="000403F0">
        <w:t xml:space="preserve"> </w:t>
      </w:r>
      <w:r w:rsidR="005A5219" w:rsidRPr="000403F0">
        <w:t>public exhibition of document</w:t>
      </w:r>
      <w:r w:rsidR="00165F97" w:rsidRPr="000403F0">
        <w:t>s</w:t>
      </w:r>
      <w:r w:rsidR="00F701DD" w:rsidRPr="000403F0">
        <w:t>.</w:t>
      </w:r>
      <w:r w:rsidR="00CA3CC1">
        <w:t xml:space="preserve">  </w:t>
      </w:r>
    </w:p>
    <w:p w:rsidR="00E57B05" w:rsidRPr="00B17EC1" w:rsidRDefault="00C95E68" w:rsidP="00901E22">
      <w:pPr>
        <w:pStyle w:val="BodyText"/>
      </w:pPr>
      <w:r>
        <w:t>Please p</w:t>
      </w:r>
      <w:r w:rsidR="00CA3CC1">
        <w:t xml:space="preserve">rovide relevant extracts </w:t>
      </w:r>
      <w:r w:rsidR="00921425">
        <w:t xml:space="preserve">of </w:t>
      </w:r>
      <w:r w:rsidR="009A504B">
        <w:t xml:space="preserve">the </w:t>
      </w:r>
      <w:r w:rsidR="00CA3CC1">
        <w:t>IP&amp;R document</w:t>
      </w:r>
      <w:r w:rsidR="00536DDB">
        <w:t>s</w:t>
      </w:r>
      <w:r w:rsidR="00CA3CC1">
        <w:t xml:space="preserve"> t</w:t>
      </w:r>
      <w:r w:rsidR="00536DDB">
        <w:t>hat</w:t>
      </w:r>
      <w:r w:rsidR="00CA3CC1">
        <w:t xml:space="preserve"> explain the </w:t>
      </w:r>
      <w:r w:rsidR="00921425">
        <w:t xml:space="preserve">council’s engagement </w:t>
      </w:r>
      <w:r w:rsidR="00CA3CC1">
        <w:t>strategy</w:t>
      </w:r>
      <w:r>
        <w:t xml:space="preserve"> and a</w:t>
      </w:r>
      <w:r w:rsidR="00E57B05">
        <w:t>ttach relevant samples of the council’s consultation material.</w:t>
      </w:r>
    </w:p>
    <w:p w:rsidR="00421A11" w:rsidRDefault="00421A11" w:rsidP="00901E22">
      <w:pPr>
        <w:rPr>
          <w:rFonts w:asciiTheme="minorHAnsi" w:hAnsiTheme="minorHAnsi"/>
          <w:b/>
          <w:color w:val="1F497D" w:themeColor="text2"/>
          <w:sz w:val="22"/>
          <w:szCs w:val="22"/>
        </w:rPr>
      </w:pPr>
    </w:p>
    <w:p w:rsidR="008D7C80" w:rsidRPr="008D7C80" w:rsidRDefault="008D7C80" w:rsidP="00901E22">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901E22" w:rsidRDefault="00DA4585" w:rsidP="00901E22">
      <w:pPr>
        <w:pStyle w:val="Default"/>
        <w:rPr>
          <w:rFonts w:asciiTheme="minorHAnsi" w:hAnsiTheme="minorHAnsi"/>
          <w:color w:val="1F497D" w:themeColor="text2"/>
          <w:sz w:val="22"/>
          <w:szCs w:val="22"/>
        </w:rPr>
      </w:pPr>
      <w:r w:rsidRPr="00DA4585">
        <w:rPr>
          <w:rFonts w:asciiTheme="minorHAnsi" w:hAnsiTheme="minorHAnsi"/>
          <w:color w:val="1F497D" w:themeColor="text2"/>
          <w:sz w:val="22"/>
          <w:szCs w:val="22"/>
        </w:rPr>
        <w:t xml:space="preserve">Council developed its consultation </w:t>
      </w:r>
      <w:r w:rsidR="004D6A3C">
        <w:rPr>
          <w:rFonts w:asciiTheme="minorHAnsi" w:hAnsiTheme="minorHAnsi"/>
          <w:color w:val="1F497D" w:themeColor="text2"/>
          <w:sz w:val="22"/>
          <w:szCs w:val="22"/>
        </w:rPr>
        <w:t>program</w:t>
      </w:r>
      <w:r w:rsidRPr="00DA4585">
        <w:rPr>
          <w:rFonts w:asciiTheme="minorHAnsi" w:hAnsiTheme="minorHAnsi"/>
          <w:color w:val="1F497D" w:themeColor="text2"/>
          <w:sz w:val="22"/>
          <w:szCs w:val="22"/>
        </w:rPr>
        <w:t xml:space="preserve"> under the framework of its adopted Community Engagement </w:t>
      </w:r>
      <w:r w:rsidR="004D6A3C">
        <w:rPr>
          <w:rFonts w:asciiTheme="minorHAnsi" w:hAnsiTheme="minorHAnsi"/>
          <w:color w:val="1F497D" w:themeColor="text2"/>
          <w:sz w:val="22"/>
          <w:szCs w:val="22"/>
        </w:rPr>
        <w:t>Strategy</w:t>
      </w:r>
      <w:r w:rsidRPr="00DA4585">
        <w:rPr>
          <w:rFonts w:asciiTheme="minorHAnsi" w:hAnsiTheme="minorHAnsi"/>
          <w:color w:val="1F497D" w:themeColor="text2"/>
          <w:sz w:val="22"/>
          <w:szCs w:val="22"/>
        </w:rPr>
        <w:t xml:space="preserve">. </w:t>
      </w:r>
      <w:r w:rsidR="004D6A3C">
        <w:rPr>
          <w:rFonts w:asciiTheme="minorHAnsi" w:hAnsiTheme="minorHAnsi"/>
          <w:color w:val="1F497D" w:themeColor="text2"/>
          <w:sz w:val="22"/>
          <w:szCs w:val="22"/>
        </w:rPr>
        <w:t>This is also referenced in the Blayney Shire Community Strategic Plan.</w:t>
      </w:r>
      <w:r w:rsidR="00D66FBA">
        <w:rPr>
          <w:rFonts w:asciiTheme="minorHAnsi" w:hAnsiTheme="minorHAnsi"/>
          <w:color w:val="1F497D" w:themeColor="text2"/>
          <w:sz w:val="22"/>
          <w:szCs w:val="22"/>
        </w:rPr>
        <w:t xml:space="preserve"> The following extract is from the Blayney Shire 2025 CSP:</w:t>
      </w:r>
    </w:p>
    <w:tbl>
      <w:tblPr>
        <w:tblW w:w="84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4"/>
      </w:tblGrid>
      <w:tr w:rsidR="00D66FBA" w:rsidRPr="00D66FBA" w:rsidTr="001030CC">
        <w:trPr>
          <w:trHeight w:val="13839"/>
        </w:trPr>
        <w:tc>
          <w:tcPr>
            <w:tcW w:w="8484" w:type="dxa"/>
          </w:tcPr>
          <w:p w:rsidR="00D66FBA" w:rsidRPr="00D66FBA" w:rsidRDefault="00D66FBA" w:rsidP="00D66FBA">
            <w:pPr>
              <w:autoSpaceDE w:val="0"/>
              <w:autoSpaceDN w:val="0"/>
              <w:adjustRightInd w:val="0"/>
              <w:rPr>
                <w:rFonts w:asciiTheme="minorHAnsi" w:hAnsiTheme="minorHAnsi"/>
                <w:b/>
                <w:bCs/>
                <w:i/>
                <w:color w:val="1F497D" w:themeColor="text2"/>
                <w:sz w:val="22"/>
                <w:szCs w:val="22"/>
              </w:rPr>
            </w:pPr>
            <w:r w:rsidRPr="00D66FBA">
              <w:rPr>
                <w:rFonts w:asciiTheme="minorHAnsi" w:hAnsiTheme="minorHAnsi"/>
                <w:b/>
                <w:bCs/>
                <w:i/>
                <w:color w:val="1F497D" w:themeColor="text2"/>
                <w:sz w:val="22"/>
                <w:szCs w:val="22"/>
              </w:rPr>
              <w:lastRenderedPageBreak/>
              <w:t>Community Engagement for future financial funding (Special Rate Variations) and service delivery</w:t>
            </w:r>
          </w:p>
          <w:p w:rsidR="00D66FBA" w:rsidRPr="00D66FBA" w:rsidRDefault="00D66FBA" w:rsidP="00D66FBA">
            <w:pPr>
              <w:autoSpaceDE w:val="0"/>
              <w:autoSpaceDN w:val="0"/>
              <w:adjustRightInd w:val="0"/>
              <w:rPr>
                <w:rFonts w:asciiTheme="minorHAnsi" w:hAnsiTheme="minorHAnsi"/>
                <w:i/>
                <w:color w:val="1F497D" w:themeColor="text2"/>
                <w:sz w:val="22"/>
                <w:szCs w:val="22"/>
              </w:rPr>
            </w:pPr>
          </w:p>
          <w:p w:rsidR="00D66FBA" w:rsidRPr="00D66FBA" w:rsidRDefault="00D66FBA" w:rsidP="00D66FBA">
            <w:pPr>
              <w:autoSpaceDE w:val="0"/>
              <w:autoSpaceDN w:val="0"/>
              <w:adjustRightInd w:val="0"/>
              <w:rPr>
                <w:rFonts w:asciiTheme="minorHAnsi" w:hAnsiTheme="minorHAnsi"/>
                <w:i/>
                <w:color w:val="1F497D" w:themeColor="text2"/>
                <w:sz w:val="22"/>
                <w:szCs w:val="22"/>
              </w:rPr>
            </w:pPr>
            <w:r w:rsidRPr="00D66FBA">
              <w:rPr>
                <w:rFonts w:asciiTheme="minorHAnsi" w:hAnsiTheme="minorHAnsi"/>
                <w:i/>
                <w:color w:val="1F497D" w:themeColor="text2"/>
                <w:sz w:val="22"/>
                <w:szCs w:val="22"/>
              </w:rPr>
              <w:t>As shown by the community engagement actions in this plan, council has determined that to meet the long term future delivery needs of the community that its current levels of funding are not adequate. This has been identified in the Long Term Financial Plan and is based round the shortfall in funds to renew, replace or maintain assets (roads, bridges, buildings, etc.) across the Shire.</w:t>
            </w:r>
          </w:p>
          <w:p w:rsidR="00D66FBA" w:rsidRPr="00D66FBA" w:rsidRDefault="00D66FBA" w:rsidP="00D66FBA">
            <w:pPr>
              <w:autoSpaceDE w:val="0"/>
              <w:autoSpaceDN w:val="0"/>
              <w:adjustRightInd w:val="0"/>
              <w:rPr>
                <w:rFonts w:asciiTheme="minorHAnsi" w:hAnsiTheme="minorHAnsi"/>
                <w:i/>
                <w:color w:val="1F497D" w:themeColor="text2"/>
                <w:sz w:val="22"/>
                <w:szCs w:val="22"/>
              </w:rPr>
            </w:pPr>
          </w:p>
          <w:p w:rsidR="00D66FBA" w:rsidRPr="00D66FBA" w:rsidRDefault="00D66FBA" w:rsidP="00D66FBA">
            <w:pPr>
              <w:autoSpaceDE w:val="0"/>
              <w:autoSpaceDN w:val="0"/>
              <w:adjustRightInd w:val="0"/>
              <w:rPr>
                <w:rFonts w:asciiTheme="minorHAnsi" w:hAnsiTheme="minorHAnsi"/>
                <w:i/>
                <w:color w:val="1F497D" w:themeColor="text2"/>
                <w:sz w:val="22"/>
                <w:szCs w:val="22"/>
              </w:rPr>
            </w:pPr>
            <w:r w:rsidRPr="00D66FBA">
              <w:rPr>
                <w:rFonts w:asciiTheme="minorHAnsi" w:hAnsiTheme="minorHAnsi"/>
                <w:i/>
                <w:color w:val="1F497D" w:themeColor="text2"/>
                <w:sz w:val="22"/>
                <w:szCs w:val="22"/>
              </w:rPr>
              <w:t>Council has been working to reduce the infrastructure backlog and to determine the service levels that the community can accept as it worked through its asset, workforce and financial plans since 2011.</w:t>
            </w:r>
          </w:p>
          <w:p w:rsidR="00D66FBA" w:rsidRPr="00D66FBA" w:rsidRDefault="00D66FBA" w:rsidP="00D66FBA">
            <w:pPr>
              <w:autoSpaceDE w:val="0"/>
              <w:autoSpaceDN w:val="0"/>
              <w:adjustRightInd w:val="0"/>
              <w:rPr>
                <w:rFonts w:asciiTheme="minorHAnsi" w:hAnsiTheme="minorHAnsi"/>
                <w:i/>
                <w:color w:val="1F497D" w:themeColor="text2"/>
                <w:sz w:val="22"/>
                <w:szCs w:val="22"/>
              </w:rPr>
            </w:pPr>
          </w:p>
          <w:p w:rsidR="00D66FBA" w:rsidRPr="00D66FBA" w:rsidRDefault="00D66FBA" w:rsidP="00D66FBA">
            <w:pPr>
              <w:autoSpaceDE w:val="0"/>
              <w:autoSpaceDN w:val="0"/>
              <w:adjustRightInd w:val="0"/>
              <w:rPr>
                <w:rFonts w:asciiTheme="minorHAnsi" w:hAnsiTheme="minorHAnsi"/>
                <w:i/>
                <w:color w:val="1F497D" w:themeColor="text2"/>
                <w:sz w:val="22"/>
                <w:szCs w:val="22"/>
              </w:rPr>
            </w:pPr>
            <w:r w:rsidRPr="00D66FBA">
              <w:rPr>
                <w:rFonts w:asciiTheme="minorHAnsi" w:hAnsiTheme="minorHAnsi"/>
                <w:i/>
                <w:color w:val="1F497D" w:themeColor="text2"/>
                <w:sz w:val="22"/>
                <w:szCs w:val="22"/>
              </w:rPr>
              <w:t>As shown on page 31 of this document, Council and its staff have made changes to how it engages with its community. It has restructured its committees to be predominantly of a community representative nature and to ensure that it is receiving the advice from village committees, sporting groups, business, and special interest groups and from a wide community cross section.</w:t>
            </w:r>
          </w:p>
          <w:p w:rsidR="00D66FBA" w:rsidRPr="00D66FBA" w:rsidRDefault="00D66FBA" w:rsidP="00D66FBA">
            <w:pPr>
              <w:autoSpaceDE w:val="0"/>
              <w:autoSpaceDN w:val="0"/>
              <w:adjustRightInd w:val="0"/>
              <w:rPr>
                <w:rFonts w:asciiTheme="minorHAnsi" w:hAnsiTheme="minorHAnsi"/>
                <w:i/>
                <w:color w:val="1F497D" w:themeColor="text2"/>
                <w:sz w:val="22"/>
                <w:szCs w:val="22"/>
              </w:rPr>
            </w:pPr>
          </w:p>
          <w:p w:rsidR="00D66FBA" w:rsidRPr="00D66FBA" w:rsidRDefault="00D66FBA" w:rsidP="00D66FBA">
            <w:pPr>
              <w:autoSpaceDE w:val="0"/>
              <w:autoSpaceDN w:val="0"/>
              <w:adjustRightInd w:val="0"/>
              <w:rPr>
                <w:rFonts w:asciiTheme="minorHAnsi" w:hAnsiTheme="minorHAnsi"/>
                <w:i/>
                <w:color w:val="1F497D" w:themeColor="text2"/>
                <w:sz w:val="22"/>
                <w:szCs w:val="22"/>
              </w:rPr>
            </w:pPr>
            <w:r w:rsidRPr="00D66FBA">
              <w:rPr>
                <w:rFonts w:asciiTheme="minorHAnsi" w:hAnsiTheme="minorHAnsi"/>
                <w:i/>
                <w:color w:val="1F497D" w:themeColor="text2"/>
                <w:sz w:val="22"/>
                <w:szCs w:val="22"/>
              </w:rPr>
              <w:t>Council has been consulting with town and village committees to increase their knowledge of how and why council functions and to provide support to these committees and the residents to promote, enhance and comment on council’s future service and financial delivery. Council has also commenced the surveying of the community and its staff members to identify priorities and to become aware of how it may enhance its delivery of services both within the rural sector and to the villages. Council has extended this to develop focus groups such as through the Women’s Forum and to ask people to register as email participants on the council web site, face book and twitter.</w:t>
            </w:r>
          </w:p>
          <w:p w:rsidR="00D66FBA" w:rsidRPr="00D66FBA" w:rsidRDefault="00D66FBA" w:rsidP="00D66FBA">
            <w:pPr>
              <w:autoSpaceDE w:val="0"/>
              <w:autoSpaceDN w:val="0"/>
              <w:adjustRightInd w:val="0"/>
              <w:rPr>
                <w:rFonts w:asciiTheme="minorHAnsi" w:hAnsiTheme="minorHAnsi"/>
                <w:i/>
                <w:color w:val="1F497D" w:themeColor="text2"/>
                <w:sz w:val="22"/>
                <w:szCs w:val="22"/>
              </w:rPr>
            </w:pPr>
          </w:p>
          <w:p w:rsidR="00D66FBA" w:rsidRPr="00D66FBA" w:rsidRDefault="00D66FBA" w:rsidP="00D66FBA">
            <w:pPr>
              <w:autoSpaceDE w:val="0"/>
              <w:autoSpaceDN w:val="0"/>
              <w:adjustRightInd w:val="0"/>
              <w:rPr>
                <w:rFonts w:asciiTheme="minorHAnsi" w:hAnsiTheme="minorHAnsi"/>
                <w:i/>
                <w:color w:val="1F497D" w:themeColor="text2"/>
                <w:sz w:val="22"/>
                <w:szCs w:val="22"/>
              </w:rPr>
            </w:pPr>
            <w:r w:rsidRPr="00D66FBA">
              <w:rPr>
                <w:rFonts w:asciiTheme="minorHAnsi" w:hAnsiTheme="minorHAnsi"/>
                <w:i/>
                <w:color w:val="1F497D" w:themeColor="text2"/>
                <w:sz w:val="22"/>
                <w:szCs w:val="22"/>
              </w:rPr>
              <w:t>Council has also undertaken research as to the community’s ability to meet long term financial commitments and to review how the rate payers across the shire are impacted currently and in the future.</w:t>
            </w:r>
          </w:p>
          <w:p w:rsidR="00D66FBA" w:rsidRPr="00D66FBA" w:rsidRDefault="00D66FBA" w:rsidP="00D66FBA">
            <w:pPr>
              <w:autoSpaceDE w:val="0"/>
              <w:autoSpaceDN w:val="0"/>
              <w:adjustRightInd w:val="0"/>
              <w:rPr>
                <w:rFonts w:asciiTheme="minorHAnsi" w:hAnsiTheme="minorHAnsi"/>
                <w:i/>
                <w:color w:val="1F497D" w:themeColor="text2"/>
                <w:sz w:val="22"/>
                <w:szCs w:val="22"/>
              </w:rPr>
            </w:pPr>
          </w:p>
          <w:p w:rsidR="00D66FBA" w:rsidRPr="00D66FBA" w:rsidRDefault="00D66FBA" w:rsidP="00D66FBA">
            <w:pPr>
              <w:autoSpaceDE w:val="0"/>
              <w:autoSpaceDN w:val="0"/>
              <w:adjustRightInd w:val="0"/>
              <w:rPr>
                <w:rFonts w:asciiTheme="minorHAnsi" w:hAnsiTheme="minorHAnsi"/>
                <w:i/>
                <w:color w:val="1F497D" w:themeColor="text2"/>
                <w:sz w:val="22"/>
                <w:szCs w:val="22"/>
              </w:rPr>
            </w:pPr>
            <w:r w:rsidRPr="00D66FBA">
              <w:rPr>
                <w:rFonts w:asciiTheme="minorHAnsi" w:hAnsiTheme="minorHAnsi"/>
                <w:i/>
                <w:color w:val="1F497D" w:themeColor="text2"/>
                <w:sz w:val="22"/>
                <w:szCs w:val="22"/>
              </w:rPr>
              <w:t>To ensure that the community is informed, Council has utilised websites, Facebook and other social media sources, print media, radio and television. Council has also provided information for surveys, special rate variation and other communications in written form and web based. Council has posted community newsletters, surveys and information on special rate variations too ratepayers, households and made these available on its web sites.</w:t>
            </w:r>
          </w:p>
          <w:p w:rsidR="00D66FBA" w:rsidRPr="00D66FBA" w:rsidRDefault="00D66FBA" w:rsidP="00D66FBA">
            <w:pPr>
              <w:autoSpaceDE w:val="0"/>
              <w:autoSpaceDN w:val="0"/>
              <w:adjustRightInd w:val="0"/>
              <w:rPr>
                <w:rFonts w:asciiTheme="minorHAnsi" w:hAnsiTheme="minorHAnsi"/>
                <w:i/>
                <w:color w:val="1F497D" w:themeColor="text2"/>
                <w:sz w:val="22"/>
                <w:szCs w:val="22"/>
              </w:rPr>
            </w:pPr>
          </w:p>
          <w:p w:rsidR="00D66FBA" w:rsidRPr="00D66FBA" w:rsidRDefault="00D66FBA" w:rsidP="00D66FBA">
            <w:pPr>
              <w:autoSpaceDE w:val="0"/>
              <w:autoSpaceDN w:val="0"/>
              <w:adjustRightInd w:val="0"/>
              <w:rPr>
                <w:rFonts w:asciiTheme="minorHAnsi" w:hAnsiTheme="minorHAnsi"/>
                <w:i/>
                <w:color w:val="1F497D" w:themeColor="text2"/>
                <w:sz w:val="22"/>
                <w:szCs w:val="22"/>
              </w:rPr>
            </w:pPr>
            <w:r w:rsidRPr="00D66FBA">
              <w:rPr>
                <w:rFonts w:asciiTheme="minorHAnsi" w:hAnsiTheme="minorHAnsi"/>
                <w:i/>
                <w:color w:val="1F497D" w:themeColor="text2"/>
                <w:sz w:val="22"/>
                <w:szCs w:val="22"/>
              </w:rPr>
              <w:t>Decisions made by Council for the Special Rate Variation have been made based on the principles of community enga</w:t>
            </w:r>
            <w:r>
              <w:rPr>
                <w:rFonts w:asciiTheme="minorHAnsi" w:hAnsiTheme="minorHAnsi"/>
                <w:i/>
                <w:color w:val="1F497D" w:themeColor="text2"/>
                <w:sz w:val="22"/>
                <w:szCs w:val="22"/>
              </w:rPr>
              <w:t>gement under this plan and refl</w:t>
            </w:r>
            <w:r w:rsidRPr="00D66FBA">
              <w:rPr>
                <w:rFonts w:asciiTheme="minorHAnsi" w:hAnsiTheme="minorHAnsi"/>
                <w:i/>
                <w:color w:val="1F497D" w:themeColor="text2"/>
                <w:sz w:val="22"/>
                <w:szCs w:val="22"/>
              </w:rPr>
              <w:t>ect the levels of engagement of Involve, Consult and Inform.</w:t>
            </w:r>
          </w:p>
          <w:p w:rsidR="00D66FBA" w:rsidRPr="00D66FBA" w:rsidRDefault="00D66FBA" w:rsidP="00D66FBA">
            <w:pPr>
              <w:autoSpaceDE w:val="0"/>
              <w:autoSpaceDN w:val="0"/>
              <w:adjustRightInd w:val="0"/>
              <w:rPr>
                <w:rFonts w:asciiTheme="minorHAnsi" w:hAnsiTheme="minorHAnsi"/>
                <w:i/>
                <w:color w:val="1F497D" w:themeColor="text2"/>
                <w:sz w:val="22"/>
                <w:szCs w:val="22"/>
              </w:rPr>
            </w:pPr>
          </w:p>
          <w:p w:rsidR="00D66FBA" w:rsidRPr="00D66FBA" w:rsidRDefault="00D66FBA" w:rsidP="00D66FBA">
            <w:pPr>
              <w:autoSpaceDE w:val="0"/>
              <w:autoSpaceDN w:val="0"/>
              <w:adjustRightInd w:val="0"/>
              <w:rPr>
                <w:rFonts w:asciiTheme="minorHAnsi" w:hAnsiTheme="minorHAnsi"/>
                <w:i/>
                <w:color w:val="1F497D" w:themeColor="text2"/>
                <w:sz w:val="22"/>
                <w:szCs w:val="22"/>
              </w:rPr>
            </w:pPr>
            <w:r w:rsidRPr="00D66FBA">
              <w:rPr>
                <w:rFonts w:asciiTheme="minorHAnsi" w:hAnsiTheme="minorHAnsi"/>
                <w:i/>
                <w:color w:val="1F497D" w:themeColor="text2"/>
                <w:sz w:val="22"/>
                <w:szCs w:val="22"/>
              </w:rPr>
              <w:t>Special Rate Variation decisions and outcomes are contained in the Integrated Planning and Reporting Documents placed on public display and are available on the Councils web site.</w:t>
            </w:r>
          </w:p>
          <w:p w:rsidR="00D66FBA" w:rsidRPr="00D66FBA" w:rsidRDefault="00D66FBA" w:rsidP="00D66FBA">
            <w:pPr>
              <w:pStyle w:val="Default"/>
              <w:rPr>
                <w:rFonts w:asciiTheme="minorHAnsi" w:hAnsiTheme="minorHAnsi"/>
                <w:color w:val="1F497D" w:themeColor="text2"/>
                <w:sz w:val="22"/>
                <w:szCs w:val="22"/>
              </w:rPr>
            </w:pPr>
          </w:p>
          <w:p w:rsidR="00D66FBA" w:rsidRDefault="00D66FBA" w:rsidP="00D66FBA">
            <w:pPr>
              <w:autoSpaceDE w:val="0"/>
              <w:autoSpaceDN w:val="0"/>
              <w:adjustRightInd w:val="0"/>
              <w:rPr>
                <w:rFonts w:asciiTheme="minorHAnsi" w:hAnsiTheme="minorHAnsi"/>
                <w:color w:val="1F497D" w:themeColor="text2"/>
                <w:sz w:val="22"/>
                <w:szCs w:val="22"/>
              </w:rPr>
            </w:pPr>
            <w:r w:rsidRPr="00D66FBA">
              <w:rPr>
                <w:rFonts w:asciiTheme="minorHAnsi" w:hAnsiTheme="minorHAnsi"/>
                <w:color w:val="1F497D" w:themeColor="text2"/>
                <w:sz w:val="22"/>
                <w:szCs w:val="22"/>
              </w:rPr>
              <w:t xml:space="preserve">The following outlines all the aspects of the consultation particular to this application. Community consultation and engagement is identified as a key action in the Council’s adopted Delivery Plan (2013/14-2016/17) and Operational Plan (2013/14) under </w:t>
            </w:r>
            <w:r w:rsidRPr="00D66FBA">
              <w:rPr>
                <w:rFonts w:asciiTheme="minorHAnsi" w:hAnsiTheme="minorHAnsi" w:cs="Arial,Bold"/>
                <w:bCs/>
                <w:color w:val="1F497D" w:themeColor="text2"/>
                <w:sz w:val="22"/>
                <w:szCs w:val="22"/>
              </w:rPr>
              <w:t>Strategic Outcome 5.4:</w:t>
            </w:r>
            <w:r w:rsidRPr="00D66FBA">
              <w:rPr>
                <w:rFonts w:asciiTheme="minorHAnsi" w:hAnsiTheme="minorHAnsi" w:cs="Arial,Bold"/>
                <w:bCs/>
                <w:i/>
                <w:color w:val="1F497D" w:themeColor="text2"/>
                <w:sz w:val="22"/>
                <w:szCs w:val="22"/>
              </w:rPr>
              <w:t xml:space="preserve"> Capable, </w:t>
            </w:r>
            <w:proofErr w:type="spellStart"/>
            <w:r w:rsidRPr="00D66FBA">
              <w:rPr>
                <w:rFonts w:asciiTheme="minorHAnsi" w:hAnsiTheme="minorHAnsi" w:cs="Arial,Bold"/>
                <w:bCs/>
                <w:i/>
                <w:color w:val="1F497D" w:themeColor="text2"/>
                <w:sz w:val="22"/>
                <w:szCs w:val="22"/>
              </w:rPr>
              <w:t>self sufficient</w:t>
            </w:r>
            <w:proofErr w:type="spellEnd"/>
            <w:r w:rsidRPr="00D66FBA">
              <w:rPr>
                <w:rFonts w:asciiTheme="minorHAnsi" w:hAnsiTheme="minorHAnsi" w:cs="Arial,Bold"/>
                <w:bCs/>
                <w:i/>
                <w:color w:val="1F497D" w:themeColor="text2"/>
                <w:sz w:val="22"/>
                <w:szCs w:val="22"/>
              </w:rPr>
              <w:t xml:space="preserve"> communities engaged in decision making about issues that affect them</w:t>
            </w:r>
            <w:r w:rsidRPr="00D66FBA">
              <w:rPr>
                <w:rFonts w:asciiTheme="minorHAnsi" w:hAnsiTheme="minorHAnsi"/>
                <w:color w:val="1F497D" w:themeColor="text2"/>
                <w:sz w:val="22"/>
                <w:szCs w:val="22"/>
              </w:rPr>
              <w:t>.</w:t>
            </w:r>
          </w:p>
          <w:p w:rsidR="00780314" w:rsidRDefault="00780314" w:rsidP="00D66FBA">
            <w:pPr>
              <w:autoSpaceDE w:val="0"/>
              <w:autoSpaceDN w:val="0"/>
              <w:adjustRightInd w:val="0"/>
              <w:rPr>
                <w:rFonts w:asciiTheme="minorHAnsi" w:hAnsiTheme="minorHAnsi"/>
                <w:bCs/>
                <w:i/>
                <w:color w:val="1F497D" w:themeColor="text2"/>
                <w:sz w:val="18"/>
                <w:szCs w:val="18"/>
              </w:rPr>
            </w:pPr>
          </w:p>
          <w:p w:rsidR="00D66FBA" w:rsidRPr="00780314" w:rsidRDefault="00780314" w:rsidP="00D66FBA">
            <w:pPr>
              <w:autoSpaceDE w:val="0"/>
              <w:autoSpaceDN w:val="0"/>
              <w:adjustRightInd w:val="0"/>
              <w:rPr>
                <w:rFonts w:asciiTheme="minorHAnsi" w:hAnsiTheme="minorHAnsi"/>
                <w:bCs/>
                <w:i/>
                <w:color w:val="1F497D" w:themeColor="text2"/>
                <w:sz w:val="18"/>
                <w:szCs w:val="18"/>
              </w:rPr>
            </w:pPr>
            <w:r>
              <w:rPr>
                <w:rFonts w:asciiTheme="minorHAnsi" w:hAnsiTheme="minorHAnsi"/>
                <w:bCs/>
                <w:i/>
                <w:color w:val="1F497D" w:themeColor="text2"/>
                <w:sz w:val="18"/>
                <w:szCs w:val="18"/>
              </w:rPr>
              <w:t xml:space="preserve">Source: </w:t>
            </w:r>
            <w:r w:rsidR="00D66FBA" w:rsidRPr="00780314">
              <w:rPr>
                <w:rFonts w:asciiTheme="minorHAnsi" w:hAnsiTheme="minorHAnsi"/>
                <w:bCs/>
                <w:i/>
                <w:color w:val="1F497D" w:themeColor="text2"/>
                <w:sz w:val="18"/>
                <w:szCs w:val="18"/>
              </w:rPr>
              <w:t>Blayney Shire Community Strategic Plan (p.34)</w:t>
            </w:r>
          </w:p>
        </w:tc>
      </w:tr>
    </w:tbl>
    <w:p w:rsidR="00906223" w:rsidRDefault="00906223" w:rsidP="00DA4585">
      <w:pPr>
        <w:pStyle w:val="Default"/>
        <w:rPr>
          <w:rFonts w:asciiTheme="minorHAnsi" w:hAnsiTheme="minorHAnsi"/>
          <w:color w:val="1F497D" w:themeColor="text2"/>
          <w:sz w:val="22"/>
          <w:szCs w:val="22"/>
        </w:rPr>
      </w:pPr>
      <w:r>
        <w:rPr>
          <w:rFonts w:asciiTheme="minorHAnsi" w:hAnsiTheme="minorHAnsi"/>
          <w:color w:val="1F497D" w:themeColor="text2"/>
          <w:sz w:val="22"/>
          <w:szCs w:val="22"/>
        </w:rPr>
        <w:lastRenderedPageBreak/>
        <w:t>BACKGROUND</w:t>
      </w:r>
    </w:p>
    <w:p w:rsidR="00DA4585" w:rsidRPr="00DA4585" w:rsidRDefault="00DA4585" w:rsidP="00DA4585">
      <w:pPr>
        <w:pStyle w:val="Default"/>
        <w:rPr>
          <w:rFonts w:asciiTheme="minorHAnsi" w:hAnsiTheme="minorHAnsi"/>
          <w:color w:val="1F497D" w:themeColor="text2"/>
          <w:sz w:val="22"/>
          <w:szCs w:val="22"/>
        </w:rPr>
      </w:pPr>
      <w:r w:rsidRPr="00DA4585">
        <w:rPr>
          <w:rFonts w:asciiTheme="minorHAnsi" w:hAnsiTheme="minorHAnsi"/>
          <w:color w:val="1F497D" w:themeColor="text2"/>
          <w:sz w:val="22"/>
          <w:szCs w:val="22"/>
        </w:rPr>
        <w:t>In 2012 when Council first implemented the Integrated Planning and Reporting Framework (2012/13) as a Group 3 Council, it was recognised in its plans placed on exhibition that it was challenged to sustain provision of services and infrastructure in the long term. The increases proposed in these plans were the Mining Special Variation which equated to a 4</w:t>
      </w:r>
      <w:r w:rsidR="00BD562E">
        <w:rPr>
          <w:rFonts w:asciiTheme="minorHAnsi" w:hAnsiTheme="minorHAnsi"/>
          <w:color w:val="1F497D" w:themeColor="text2"/>
          <w:sz w:val="22"/>
          <w:szCs w:val="22"/>
        </w:rPr>
        <w:t>0</w:t>
      </w:r>
      <w:r w:rsidRPr="00DA4585">
        <w:rPr>
          <w:rFonts w:asciiTheme="minorHAnsi" w:hAnsiTheme="minorHAnsi"/>
          <w:color w:val="1F497D" w:themeColor="text2"/>
          <w:sz w:val="22"/>
          <w:szCs w:val="22"/>
        </w:rPr>
        <w:t xml:space="preserve">.7% increase to the rate base, which was subsequently lodged and successful, and a permanent 10.3%p.a. increase over 7 years which did not proceed. The proposed increases were </w:t>
      </w:r>
      <w:r w:rsidRPr="00906223">
        <w:rPr>
          <w:rFonts w:asciiTheme="minorHAnsi" w:hAnsiTheme="minorHAnsi"/>
          <w:color w:val="1F497D" w:themeColor="text2"/>
          <w:sz w:val="22"/>
          <w:szCs w:val="22"/>
          <w:u w:val="single"/>
        </w:rPr>
        <w:t>reported in the media</w:t>
      </w:r>
      <w:r w:rsidRPr="00DA4585">
        <w:rPr>
          <w:rFonts w:asciiTheme="minorHAnsi" w:hAnsiTheme="minorHAnsi"/>
          <w:color w:val="1F497D" w:themeColor="text2"/>
          <w:sz w:val="22"/>
          <w:szCs w:val="22"/>
        </w:rPr>
        <w:t xml:space="preserve"> at that point.</w:t>
      </w:r>
    </w:p>
    <w:p w:rsidR="00DA4585" w:rsidRPr="00DA4585" w:rsidRDefault="00DA4585" w:rsidP="00DA4585">
      <w:pPr>
        <w:pStyle w:val="Default"/>
        <w:rPr>
          <w:rFonts w:asciiTheme="minorHAnsi" w:hAnsiTheme="minorHAnsi"/>
          <w:color w:val="1F497D" w:themeColor="text2"/>
          <w:sz w:val="22"/>
          <w:szCs w:val="22"/>
        </w:rPr>
      </w:pPr>
    </w:p>
    <w:p w:rsidR="00DA4585" w:rsidRPr="00DA4585" w:rsidRDefault="00DA4585" w:rsidP="00DA4585">
      <w:pPr>
        <w:pStyle w:val="Default"/>
        <w:rPr>
          <w:rFonts w:asciiTheme="minorHAnsi" w:hAnsiTheme="minorHAnsi"/>
          <w:color w:val="1F497D" w:themeColor="text2"/>
          <w:sz w:val="22"/>
          <w:szCs w:val="22"/>
        </w:rPr>
      </w:pPr>
      <w:r w:rsidRPr="00DA4585">
        <w:rPr>
          <w:rFonts w:asciiTheme="minorHAnsi" w:hAnsiTheme="minorHAnsi"/>
          <w:color w:val="1F497D" w:themeColor="text2"/>
          <w:sz w:val="22"/>
          <w:szCs w:val="22"/>
        </w:rPr>
        <w:t xml:space="preserve">In 2013 Council exhibited and then adopted its Integrated Planning and Reporting Plans (2013/14). These plans proposed permanent 15%p.a. rates over six years. Again the </w:t>
      </w:r>
      <w:r w:rsidRPr="00906223">
        <w:rPr>
          <w:rFonts w:asciiTheme="minorHAnsi" w:hAnsiTheme="minorHAnsi"/>
          <w:color w:val="1F497D" w:themeColor="text2"/>
          <w:sz w:val="22"/>
          <w:szCs w:val="22"/>
          <w:u w:val="single"/>
        </w:rPr>
        <w:t>media reported</w:t>
      </w:r>
      <w:r w:rsidRPr="00DA4585">
        <w:rPr>
          <w:rFonts w:asciiTheme="minorHAnsi" w:hAnsiTheme="minorHAnsi"/>
          <w:color w:val="1F497D" w:themeColor="text2"/>
          <w:sz w:val="22"/>
          <w:szCs w:val="22"/>
        </w:rPr>
        <w:t xml:space="preserve"> this and a number of </w:t>
      </w:r>
      <w:r w:rsidRPr="00906223">
        <w:rPr>
          <w:rFonts w:asciiTheme="minorHAnsi" w:hAnsiTheme="minorHAnsi"/>
          <w:color w:val="1F497D" w:themeColor="text2"/>
          <w:sz w:val="22"/>
          <w:szCs w:val="22"/>
          <w:u w:val="single"/>
        </w:rPr>
        <w:t>submissions were received</w:t>
      </w:r>
      <w:r w:rsidRPr="00DA4585">
        <w:rPr>
          <w:rFonts w:asciiTheme="minorHAnsi" w:hAnsiTheme="minorHAnsi"/>
          <w:color w:val="1F497D" w:themeColor="text2"/>
          <w:sz w:val="22"/>
          <w:szCs w:val="22"/>
        </w:rPr>
        <w:t xml:space="preserve"> by Council largely concerning with hardship of such a rise.</w:t>
      </w:r>
    </w:p>
    <w:p w:rsidR="00DA4585" w:rsidRDefault="00DA4585" w:rsidP="00DA4585">
      <w:pPr>
        <w:pStyle w:val="Default"/>
        <w:rPr>
          <w:rFonts w:asciiTheme="minorHAnsi" w:hAnsiTheme="minorHAnsi"/>
          <w:color w:val="1F497D" w:themeColor="text2"/>
          <w:sz w:val="22"/>
          <w:szCs w:val="22"/>
        </w:rPr>
      </w:pPr>
    </w:p>
    <w:p w:rsidR="00906223" w:rsidRPr="00DA4585" w:rsidRDefault="00906223" w:rsidP="00DA4585">
      <w:pPr>
        <w:pStyle w:val="Default"/>
        <w:rPr>
          <w:rFonts w:asciiTheme="minorHAnsi" w:hAnsiTheme="minorHAnsi"/>
          <w:color w:val="1F497D" w:themeColor="text2"/>
          <w:sz w:val="22"/>
          <w:szCs w:val="22"/>
        </w:rPr>
      </w:pPr>
      <w:r>
        <w:rPr>
          <w:rFonts w:asciiTheme="minorHAnsi" w:hAnsiTheme="minorHAnsi"/>
          <w:color w:val="1F497D" w:themeColor="text2"/>
          <w:sz w:val="22"/>
          <w:szCs w:val="22"/>
        </w:rPr>
        <w:t>PRESENT DAY</w:t>
      </w:r>
    </w:p>
    <w:p w:rsidR="00DA4585" w:rsidRPr="00DA4585" w:rsidRDefault="00DA4585" w:rsidP="00DA4585">
      <w:pPr>
        <w:pStyle w:val="Default"/>
        <w:rPr>
          <w:rFonts w:asciiTheme="minorHAnsi" w:hAnsiTheme="minorHAnsi"/>
          <w:color w:val="1F497D" w:themeColor="text2"/>
          <w:sz w:val="22"/>
          <w:szCs w:val="22"/>
        </w:rPr>
      </w:pPr>
      <w:r w:rsidRPr="00DA4585">
        <w:rPr>
          <w:rFonts w:asciiTheme="minorHAnsi" w:hAnsiTheme="minorHAnsi"/>
          <w:color w:val="1F497D" w:themeColor="text2"/>
          <w:sz w:val="22"/>
          <w:szCs w:val="22"/>
        </w:rPr>
        <w:t xml:space="preserve">At the first Council meeting following the 2013 election of the new Council the suite of Integrated Planning and Reporting documents were endorsed and a consultation and engagement plan was developed. The program commenced with the engagement of a consultant to assist the delivery of an engagement program. A community survey on the Blayney Shire Services was distributed in September 2013 incorporating questions relating to the importance of services and satisfaction levels. The surveys were issued through Australia Post to </w:t>
      </w:r>
      <w:r w:rsidRPr="00906223">
        <w:rPr>
          <w:rFonts w:asciiTheme="minorHAnsi" w:hAnsiTheme="minorHAnsi"/>
          <w:color w:val="1F497D" w:themeColor="text2"/>
          <w:sz w:val="22"/>
          <w:szCs w:val="22"/>
          <w:u w:val="single"/>
        </w:rPr>
        <w:t>every letter box in the Shire</w:t>
      </w:r>
      <w:r w:rsidRPr="00DA4585">
        <w:rPr>
          <w:rFonts w:asciiTheme="minorHAnsi" w:hAnsiTheme="minorHAnsi"/>
          <w:color w:val="1F497D" w:themeColor="text2"/>
          <w:sz w:val="22"/>
          <w:szCs w:val="22"/>
        </w:rPr>
        <w:t xml:space="preserve"> and </w:t>
      </w:r>
      <w:r w:rsidRPr="00906223">
        <w:rPr>
          <w:rFonts w:asciiTheme="minorHAnsi" w:hAnsiTheme="minorHAnsi"/>
          <w:color w:val="1F497D" w:themeColor="text2"/>
          <w:sz w:val="22"/>
          <w:szCs w:val="22"/>
          <w:u w:val="single"/>
        </w:rPr>
        <w:t>mailed to non-resident ratepayers</w:t>
      </w:r>
      <w:r w:rsidRPr="00DA4585">
        <w:rPr>
          <w:rFonts w:asciiTheme="minorHAnsi" w:hAnsiTheme="minorHAnsi"/>
          <w:color w:val="1F497D" w:themeColor="text2"/>
          <w:sz w:val="22"/>
          <w:szCs w:val="22"/>
        </w:rPr>
        <w:t xml:space="preserve">. This was supplemented by placement on Council’s </w:t>
      </w:r>
      <w:r w:rsidRPr="00906223">
        <w:rPr>
          <w:rFonts w:asciiTheme="minorHAnsi" w:hAnsiTheme="minorHAnsi"/>
          <w:color w:val="1F497D" w:themeColor="text2"/>
          <w:sz w:val="22"/>
          <w:szCs w:val="22"/>
          <w:u w:val="single"/>
        </w:rPr>
        <w:t>website</w:t>
      </w:r>
      <w:r w:rsidRPr="00DA4585">
        <w:rPr>
          <w:rFonts w:asciiTheme="minorHAnsi" w:hAnsiTheme="minorHAnsi"/>
          <w:color w:val="1F497D" w:themeColor="text2"/>
          <w:sz w:val="22"/>
          <w:szCs w:val="22"/>
        </w:rPr>
        <w:t xml:space="preserve"> and “</w:t>
      </w:r>
      <w:r w:rsidRPr="00906223">
        <w:rPr>
          <w:rFonts w:asciiTheme="minorHAnsi" w:hAnsiTheme="minorHAnsi"/>
          <w:color w:val="1F497D" w:themeColor="text2"/>
          <w:sz w:val="22"/>
          <w:szCs w:val="22"/>
          <w:u w:val="single"/>
        </w:rPr>
        <w:t>catalogue drop” to mailboxes</w:t>
      </w:r>
      <w:r w:rsidRPr="00DA4585">
        <w:rPr>
          <w:rFonts w:asciiTheme="minorHAnsi" w:hAnsiTheme="minorHAnsi"/>
          <w:color w:val="1F497D" w:themeColor="text2"/>
          <w:sz w:val="22"/>
          <w:szCs w:val="22"/>
        </w:rPr>
        <w:t xml:space="preserve"> in the Blayney and Millthorpe townships. The survey was promoted by a </w:t>
      </w:r>
      <w:r w:rsidRPr="00906223">
        <w:rPr>
          <w:rFonts w:asciiTheme="minorHAnsi" w:hAnsiTheme="minorHAnsi"/>
          <w:color w:val="1F497D" w:themeColor="text2"/>
          <w:sz w:val="22"/>
          <w:szCs w:val="22"/>
          <w:u w:val="single"/>
        </w:rPr>
        <w:t>media release</w:t>
      </w:r>
      <w:r w:rsidRPr="00DA4585">
        <w:rPr>
          <w:rFonts w:asciiTheme="minorHAnsi" w:hAnsiTheme="minorHAnsi"/>
          <w:color w:val="1F497D" w:themeColor="text2"/>
          <w:sz w:val="22"/>
          <w:szCs w:val="22"/>
        </w:rPr>
        <w:t xml:space="preserve"> and </w:t>
      </w:r>
      <w:r w:rsidRPr="00906223">
        <w:rPr>
          <w:rFonts w:asciiTheme="minorHAnsi" w:hAnsiTheme="minorHAnsi"/>
          <w:color w:val="1F497D" w:themeColor="text2"/>
          <w:sz w:val="22"/>
          <w:szCs w:val="22"/>
          <w:u w:val="single"/>
        </w:rPr>
        <w:t>electronic media</w:t>
      </w:r>
      <w:r w:rsidR="00906223">
        <w:rPr>
          <w:rFonts w:asciiTheme="minorHAnsi" w:hAnsiTheme="minorHAnsi"/>
          <w:color w:val="1F497D" w:themeColor="text2"/>
          <w:sz w:val="22"/>
          <w:szCs w:val="22"/>
          <w:u w:val="single"/>
        </w:rPr>
        <w:t xml:space="preserve"> i.e. Facebook and Twitter</w:t>
      </w:r>
      <w:r w:rsidRPr="00DA4585">
        <w:rPr>
          <w:rFonts w:asciiTheme="minorHAnsi" w:hAnsiTheme="minorHAnsi"/>
          <w:color w:val="1F497D" w:themeColor="text2"/>
          <w:sz w:val="22"/>
          <w:szCs w:val="22"/>
        </w:rPr>
        <w:t xml:space="preserve">. </w:t>
      </w:r>
      <w:r w:rsidR="00D2124C">
        <w:rPr>
          <w:rFonts w:asciiTheme="minorHAnsi" w:hAnsiTheme="minorHAnsi"/>
          <w:color w:val="1F497D" w:themeColor="text2"/>
          <w:sz w:val="22"/>
          <w:szCs w:val="22"/>
        </w:rPr>
        <w:t xml:space="preserve">The Mayor also spoke of the survey in an interview on </w:t>
      </w:r>
      <w:r w:rsidR="00D2124C" w:rsidRPr="00D2124C">
        <w:rPr>
          <w:rFonts w:asciiTheme="minorHAnsi" w:hAnsiTheme="minorHAnsi"/>
          <w:color w:val="1F497D" w:themeColor="text2"/>
          <w:sz w:val="22"/>
          <w:szCs w:val="22"/>
          <w:u w:val="single"/>
        </w:rPr>
        <w:t>ABC Radio</w:t>
      </w:r>
      <w:r w:rsidR="00D2124C" w:rsidRPr="00D2124C">
        <w:rPr>
          <w:rFonts w:asciiTheme="minorHAnsi" w:hAnsiTheme="minorHAnsi"/>
          <w:color w:val="1F497D" w:themeColor="text2"/>
          <w:sz w:val="22"/>
          <w:szCs w:val="22"/>
        </w:rPr>
        <w:t xml:space="preserve">. </w:t>
      </w:r>
      <w:r w:rsidR="00D16469">
        <w:rPr>
          <w:rFonts w:asciiTheme="minorHAnsi" w:hAnsiTheme="minorHAnsi"/>
          <w:color w:val="1F497D" w:themeColor="text2"/>
          <w:sz w:val="22"/>
          <w:szCs w:val="22"/>
        </w:rPr>
        <w:t>Responses were invited online or by placement into boxes promoting the survey located in post office agencies around the Shire and Council’s office.</w:t>
      </w:r>
    </w:p>
    <w:p w:rsidR="00DA4585" w:rsidRDefault="00DA4585" w:rsidP="00DA4585">
      <w:pPr>
        <w:pStyle w:val="Default"/>
        <w:rPr>
          <w:rFonts w:asciiTheme="minorHAnsi" w:hAnsiTheme="minorHAnsi"/>
          <w:color w:val="1F497D" w:themeColor="text2"/>
          <w:sz w:val="22"/>
          <w:szCs w:val="22"/>
        </w:rPr>
      </w:pPr>
    </w:p>
    <w:p w:rsidR="004D2A2E" w:rsidRPr="005821B7" w:rsidRDefault="004D2A2E" w:rsidP="00DA4585">
      <w:pPr>
        <w:pStyle w:val="Default"/>
        <w:rPr>
          <w:rFonts w:asciiTheme="minorHAnsi" w:hAnsiTheme="minorHAnsi"/>
          <w:color w:val="1F497D" w:themeColor="text2"/>
          <w:sz w:val="22"/>
          <w:szCs w:val="22"/>
        </w:rPr>
      </w:pPr>
      <w:r>
        <w:rPr>
          <w:rFonts w:asciiTheme="minorHAnsi" w:hAnsiTheme="minorHAnsi"/>
          <w:color w:val="1F497D" w:themeColor="text2"/>
          <w:sz w:val="22"/>
          <w:szCs w:val="22"/>
        </w:rPr>
        <w:t xml:space="preserve">Council also sought to build awareness through information to its Advisory Committees </w:t>
      </w:r>
      <w:r w:rsidR="000F35C2">
        <w:rPr>
          <w:rFonts w:asciiTheme="minorHAnsi" w:hAnsiTheme="minorHAnsi"/>
          <w:color w:val="1F497D" w:themeColor="text2"/>
          <w:sz w:val="22"/>
          <w:szCs w:val="22"/>
        </w:rPr>
        <w:t xml:space="preserve">via its </w:t>
      </w:r>
      <w:r w:rsidR="000F35C2" w:rsidRPr="005821B7">
        <w:rPr>
          <w:rFonts w:asciiTheme="minorHAnsi" w:hAnsiTheme="minorHAnsi"/>
          <w:color w:val="1F497D" w:themeColor="text2"/>
          <w:sz w:val="22"/>
          <w:szCs w:val="22"/>
        </w:rPr>
        <w:t xml:space="preserve">email distribution lists and meetings held, </w:t>
      </w:r>
      <w:r w:rsidRPr="005821B7">
        <w:rPr>
          <w:rFonts w:asciiTheme="minorHAnsi" w:hAnsiTheme="minorHAnsi"/>
          <w:color w:val="1F497D" w:themeColor="text2"/>
          <w:sz w:val="22"/>
          <w:szCs w:val="22"/>
        </w:rPr>
        <w:t xml:space="preserve">particularly focussing on its Towns &amp; Villages Committee comprising representatives from each of the </w:t>
      </w:r>
      <w:r w:rsidR="008345F8" w:rsidRPr="005821B7">
        <w:rPr>
          <w:rFonts w:asciiTheme="minorHAnsi" w:hAnsiTheme="minorHAnsi"/>
          <w:color w:val="1F497D" w:themeColor="text2"/>
          <w:sz w:val="22"/>
          <w:szCs w:val="22"/>
        </w:rPr>
        <w:t xml:space="preserve">village committees in the </w:t>
      </w:r>
      <w:r w:rsidRPr="005821B7">
        <w:rPr>
          <w:rFonts w:asciiTheme="minorHAnsi" w:hAnsiTheme="minorHAnsi"/>
          <w:color w:val="1F497D" w:themeColor="text2"/>
          <w:sz w:val="22"/>
          <w:szCs w:val="22"/>
        </w:rPr>
        <w:t xml:space="preserve">localities </w:t>
      </w:r>
      <w:r w:rsidR="008345F8" w:rsidRPr="005821B7">
        <w:rPr>
          <w:rFonts w:asciiTheme="minorHAnsi" w:hAnsiTheme="minorHAnsi"/>
          <w:color w:val="1F497D" w:themeColor="text2"/>
          <w:sz w:val="22"/>
          <w:szCs w:val="22"/>
        </w:rPr>
        <w:t>of</w:t>
      </w:r>
      <w:r w:rsidRPr="005821B7">
        <w:rPr>
          <w:rFonts w:asciiTheme="minorHAnsi" w:hAnsiTheme="minorHAnsi"/>
          <w:color w:val="1F497D" w:themeColor="text2"/>
          <w:sz w:val="22"/>
          <w:szCs w:val="22"/>
        </w:rPr>
        <w:t xml:space="preserve"> Blayney Shire.</w:t>
      </w:r>
    </w:p>
    <w:p w:rsidR="004D2A2E" w:rsidRPr="005821B7" w:rsidRDefault="004D2A2E" w:rsidP="00DA4585">
      <w:pPr>
        <w:pStyle w:val="Default"/>
        <w:rPr>
          <w:rFonts w:asciiTheme="minorHAnsi" w:hAnsiTheme="minorHAnsi"/>
          <w:color w:val="1F497D" w:themeColor="text2"/>
          <w:sz w:val="22"/>
          <w:szCs w:val="22"/>
        </w:rPr>
      </w:pPr>
    </w:p>
    <w:p w:rsidR="00D34D59" w:rsidRPr="00811AA7" w:rsidRDefault="00906223" w:rsidP="00D34D59">
      <w:pPr>
        <w:pStyle w:val="Default"/>
        <w:rPr>
          <w:rFonts w:asciiTheme="minorHAnsi" w:hAnsiTheme="minorHAnsi"/>
          <w:color w:val="1F497D" w:themeColor="text2"/>
          <w:sz w:val="22"/>
          <w:szCs w:val="22"/>
        </w:rPr>
      </w:pPr>
      <w:r w:rsidRPr="005821B7">
        <w:rPr>
          <w:rFonts w:asciiTheme="minorHAnsi" w:hAnsiTheme="minorHAnsi"/>
          <w:color w:val="1F497D" w:themeColor="text2"/>
          <w:sz w:val="22"/>
          <w:szCs w:val="22"/>
        </w:rPr>
        <w:t xml:space="preserve">Council held community </w:t>
      </w:r>
      <w:r w:rsidR="00E819BD" w:rsidRPr="005821B7">
        <w:rPr>
          <w:rFonts w:asciiTheme="minorHAnsi" w:hAnsiTheme="minorHAnsi"/>
          <w:color w:val="1F497D" w:themeColor="text2"/>
          <w:sz w:val="22"/>
          <w:szCs w:val="22"/>
        </w:rPr>
        <w:t xml:space="preserve">meetings </w:t>
      </w:r>
      <w:r w:rsidR="00912BA5" w:rsidRPr="005821B7">
        <w:rPr>
          <w:rFonts w:asciiTheme="minorHAnsi" w:hAnsiTheme="minorHAnsi"/>
          <w:color w:val="1F497D" w:themeColor="text2"/>
          <w:sz w:val="22"/>
          <w:szCs w:val="22"/>
        </w:rPr>
        <w:t>as outlined in the table below</w:t>
      </w:r>
      <w:r w:rsidR="00D34D59" w:rsidRPr="005821B7">
        <w:rPr>
          <w:rFonts w:asciiTheme="minorHAnsi" w:hAnsiTheme="minorHAnsi"/>
          <w:color w:val="1F497D" w:themeColor="text2"/>
          <w:sz w:val="22"/>
          <w:szCs w:val="22"/>
        </w:rPr>
        <w:t xml:space="preserve">. </w:t>
      </w:r>
      <w:r w:rsidR="00DF6C0E" w:rsidRPr="005821B7">
        <w:rPr>
          <w:rFonts w:asciiTheme="minorHAnsi" w:hAnsiTheme="minorHAnsi"/>
          <w:color w:val="1F497D" w:themeColor="text2"/>
          <w:sz w:val="22"/>
          <w:szCs w:val="22"/>
        </w:rPr>
        <w:t>Meetings were publicised in the Blayney Chronicle, Blayney Shire Council website and Facebook / Twitter sites</w:t>
      </w:r>
      <w:r w:rsidR="005D02F5" w:rsidRPr="005821B7">
        <w:rPr>
          <w:rFonts w:asciiTheme="minorHAnsi" w:hAnsiTheme="minorHAnsi"/>
          <w:color w:val="1F497D" w:themeColor="text2"/>
          <w:sz w:val="22"/>
          <w:szCs w:val="22"/>
        </w:rPr>
        <w:t xml:space="preserve">. Copies of meeting schedules were also distributed to every letterbox across the Shire by Australia Post. </w:t>
      </w:r>
      <w:r w:rsidR="00DF6C0E" w:rsidRPr="005821B7">
        <w:rPr>
          <w:rFonts w:asciiTheme="minorHAnsi" w:hAnsiTheme="minorHAnsi"/>
          <w:color w:val="1F497D" w:themeColor="text2"/>
          <w:sz w:val="22"/>
          <w:szCs w:val="22"/>
        </w:rPr>
        <w:t xml:space="preserve"> </w:t>
      </w:r>
      <w:r w:rsidR="00912BA5" w:rsidRPr="005821B7">
        <w:rPr>
          <w:rFonts w:asciiTheme="minorHAnsi" w:hAnsiTheme="minorHAnsi"/>
          <w:color w:val="1F497D" w:themeColor="text2"/>
          <w:sz w:val="22"/>
          <w:szCs w:val="22"/>
        </w:rPr>
        <w:t xml:space="preserve">At these meetings there was also information provided by staff, questions / discussion, posters and rates calculator </w:t>
      </w:r>
      <w:r w:rsidR="00D16469" w:rsidRPr="005821B7">
        <w:rPr>
          <w:rFonts w:asciiTheme="minorHAnsi" w:hAnsiTheme="minorHAnsi"/>
          <w:color w:val="1F497D" w:themeColor="text2"/>
          <w:sz w:val="22"/>
          <w:szCs w:val="22"/>
        </w:rPr>
        <w:t>demonstrations</w:t>
      </w:r>
      <w:r w:rsidR="00912BA5" w:rsidRPr="005821B7">
        <w:rPr>
          <w:rFonts w:asciiTheme="minorHAnsi" w:hAnsiTheme="minorHAnsi"/>
          <w:color w:val="1F497D" w:themeColor="text2"/>
          <w:sz w:val="22"/>
          <w:szCs w:val="22"/>
        </w:rPr>
        <w:t>.</w:t>
      </w:r>
      <w:r w:rsidR="00D34D59" w:rsidRPr="005821B7">
        <w:rPr>
          <w:rFonts w:asciiTheme="minorHAnsi" w:hAnsiTheme="minorHAnsi"/>
          <w:color w:val="1F497D" w:themeColor="text2"/>
          <w:sz w:val="22"/>
          <w:szCs w:val="22"/>
        </w:rPr>
        <w:t xml:space="preserve"> In total there were approximately 110 community members in attendance excluding councillors and staff. </w:t>
      </w:r>
      <w:r w:rsidR="00811AA7" w:rsidRPr="005821B7">
        <w:rPr>
          <w:rFonts w:asciiTheme="minorHAnsi" w:eastAsia="Calibri" w:hAnsiTheme="minorHAnsi" w:cs="Arial"/>
          <w:color w:val="1F497D" w:themeColor="text2"/>
          <w:sz w:val="22"/>
          <w:szCs w:val="22"/>
        </w:rPr>
        <w:t>The community was provided with an overview of the special rate variations and Councils reasoning for</w:t>
      </w:r>
      <w:r w:rsidR="00811AA7" w:rsidRPr="00811AA7">
        <w:rPr>
          <w:rFonts w:asciiTheme="minorHAnsi" w:eastAsia="Calibri" w:hAnsiTheme="minorHAnsi" w:cs="Arial"/>
          <w:color w:val="1F497D" w:themeColor="text2"/>
          <w:sz w:val="22"/>
          <w:szCs w:val="22"/>
        </w:rPr>
        <w:t xml:space="preserve"> consideration of the need for these. A handout was provided to all community members and the community was encouraged to ask questions on the SRV.</w:t>
      </w:r>
      <w:r w:rsidR="00811AA7">
        <w:rPr>
          <w:rFonts w:asciiTheme="minorHAnsi" w:eastAsia="Calibri" w:hAnsiTheme="minorHAnsi" w:cs="Arial"/>
          <w:color w:val="1F497D" w:themeColor="text2"/>
          <w:sz w:val="22"/>
          <w:szCs w:val="22"/>
        </w:rPr>
        <w:t xml:space="preserve"> </w:t>
      </w:r>
      <w:r w:rsidR="00D34D59">
        <w:rPr>
          <w:rFonts w:asciiTheme="minorHAnsi" w:hAnsiTheme="minorHAnsi"/>
          <w:color w:val="1F497D" w:themeColor="text2"/>
          <w:sz w:val="22"/>
          <w:szCs w:val="22"/>
        </w:rPr>
        <w:t>A</w:t>
      </w:r>
      <w:r w:rsidR="00D34D59" w:rsidRPr="00D34D59">
        <w:rPr>
          <w:rFonts w:asciiTheme="minorHAnsi" w:eastAsia="Calibri" w:hAnsiTheme="minorHAnsi" w:cs="Arial"/>
          <w:color w:val="1F497D" w:themeColor="text2"/>
          <w:sz w:val="22"/>
          <w:szCs w:val="22"/>
        </w:rPr>
        <w:t xml:space="preserve"> </w:t>
      </w:r>
      <w:r w:rsidR="00D34D59">
        <w:rPr>
          <w:rFonts w:asciiTheme="minorHAnsi" w:eastAsia="Calibri" w:hAnsiTheme="minorHAnsi" w:cs="Arial"/>
          <w:color w:val="1F497D" w:themeColor="text2"/>
          <w:sz w:val="22"/>
          <w:szCs w:val="22"/>
        </w:rPr>
        <w:t>secret ballot was held on community preference of options and</w:t>
      </w:r>
      <w:r w:rsidR="00D34D59" w:rsidRPr="00D34D59">
        <w:rPr>
          <w:rFonts w:asciiTheme="minorHAnsi" w:eastAsia="Calibri" w:hAnsiTheme="minorHAnsi" w:cs="Arial"/>
          <w:color w:val="1F497D" w:themeColor="text2"/>
          <w:sz w:val="22"/>
          <w:szCs w:val="22"/>
        </w:rPr>
        <w:t xml:space="preserve"> results from the village community meetings held</w:t>
      </w:r>
      <w:r w:rsidR="00D34D59">
        <w:rPr>
          <w:rFonts w:asciiTheme="minorHAnsi" w:eastAsia="Calibri" w:hAnsiTheme="minorHAnsi" w:cs="Arial"/>
          <w:color w:val="1F497D" w:themeColor="text2"/>
          <w:sz w:val="22"/>
          <w:szCs w:val="22"/>
        </w:rPr>
        <w:t xml:space="preserve"> </w:t>
      </w:r>
      <w:r w:rsidR="00D34D59" w:rsidRPr="00D34D59">
        <w:rPr>
          <w:rFonts w:asciiTheme="minorHAnsi" w:eastAsia="Calibri" w:hAnsiTheme="minorHAnsi" w:cs="Arial"/>
          <w:color w:val="1F497D" w:themeColor="text2"/>
          <w:sz w:val="22"/>
          <w:szCs w:val="22"/>
        </w:rPr>
        <w:t>indicated</w:t>
      </w:r>
      <w:r w:rsidR="00D34D59">
        <w:rPr>
          <w:rFonts w:asciiTheme="minorHAnsi" w:eastAsia="Calibri" w:hAnsiTheme="minorHAnsi" w:cs="Arial"/>
          <w:color w:val="1F497D" w:themeColor="text2"/>
          <w:sz w:val="22"/>
          <w:szCs w:val="22"/>
        </w:rPr>
        <w:t>:</w:t>
      </w:r>
    </w:p>
    <w:p w:rsidR="00D34D59" w:rsidRPr="00D34D59" w:rsidRDefault="00D34D59" w:rsidP="00D34D59">
      <w:pPr>
        <w:rPr>
          <w:rFonts w:asciiTheme="minorHAnsi" w:eastAsia="Calibri" w:hAnsiTheme="minorHAnsi" w:cs="Arial"/>
          <w:color w:val="1F497D" w:themeColor="text2"/>
          <w:sz w:val="22"/>
          <w:szCs w:val="22"/>
        </w:rPr>
      </w:pPr>
    </w:p>
    <w:p w:rsidR="00D34D59" w:rsidRDefault="00D34D59" w:rsidP="00D34D59">
      <w:pPr>
        <w:pStyle w:val="ListParagraph"/>
        <w:numPr>
          <w:ilvl w:val="0"/>
          <w:numId w:val="49"/>
        </w:numPr>
        <w:rPr>
          <w:rFonts w:asciiTheme="minorHAnsi" w:eastAsia="Calibri" w:hAnsiTheme="minorHAnsi" w:cs="Arial"/>
          <w:color w:val="1F497D" w:themeColor="text2"/>
          <w:sz w:val="22"/>
          <w:szCs w:val="22"/>
        </w:rPr>
      </w:pPr>
      <w:r w:rsidRPr="00D34D59">
        <w:rPr>
          <w:rFonts w:asciiTheme="minorHAnsi" w:eastAsia="Calibri" w:hAnsiTheme="minorHAnsi" w:cs="Arial"/>
          <w:color w:val="1F497D" w:themeColor="text2"/>
          <w:sz w:val="22"/>
          <w:szCs w:val="22"/>
        </w:rPr>
        <w:t>45% were in favour of the 15% variation over 6 years</w:t>
      </w:r>
    </w:p>
    <w:p w:rsidR="00D34D59" w:rsidRDefault="00D34D59" w:rsidP="00D34D59">
      <w:pPr>
        <w:pStyle w:val="ListParagraph"/>
        <w:numPr>
          <w:ilvl w:val="0"/>
          <w:numId w:val="49"/>
        </w:numPr>
        <w:rPr>
          <w:rFonts w:asciiTheme="minorHAnsi" w:eastAsia="Calibri" w:hAnsiTheme="minorHAnsi" w:cs="Arial"/>
          <w:color w:val="1F497D" w:themeColor="text2"/>
          <w:sz w:val="22"/>
          <w:szCs w:val="22"/>
        </w:rPr>
      </w:pPr>
      <w:r w:rsidRPr="00D34D59">
        <w:rPr>
          <w:rFonts w:asciiTheme="minorHAnsi" w:eastAsia="Calibri" w:hAnsiTheme="minorHAnsi" w:cs="Arial"/>
          <w:color w:val="1F497D" w:themeColor="text2"/>
          <w:sz w:val="22"/>
          <w:szCs w:val="22"/>
        </w:rPr>
        <w:t>35% were in favour of the 10% variation over 4 years</w:t>
      </w:r>
    </w:p>
    <w:p w:rsidR="00D34D59" w:rsidRDefault="00D34D59" w:rsidP="00D34D59">
      <w:pPr>
        <w:pStyle w:val="ListParagraph"/>
        <w:numPr>
          <w:ilvl w:val="0"/>
          <w:numId w:val="49"/>
        </w:numPr>
        <w:rPr>
          <w:rFonts w:asciiTheme="minorHAnsi" w:eastAsia="Calibri" w:hAnsiTheme="minorHAnsi" w:cs="Arial"/>
          <w:color w:val="1F497D" w:themeColor="text2"/>
          <w:sz w:val="22"/>
          <w:szCs w:val="22"/>
        </w:rPr>
      </w:pPr>
      <w:r w:rsidRPr="00D34D59">
        <w:rPr>
          <w:rFonts w:asciiTheme="minorHAnsi" w:eastAsia="Calibri" w:hAnsiTheme="minorHAnsi" w:cs="Arial"/>
          <w:color w:val="1F497D" w:themeColor="text2"/>
          <w:sz w:val="22"/>
          <w:szCs w:val="22"/>
        </w:rPr>
        <w:t>22% were in favour of the 3.3% variation (current rate peg)</w:t>
      </w:r>
    </w:p>
    <w:p w:rsidR="00D34D59" w:rsidRPr="00D34D59" w:rsidRDefault="00D34D59" w:rsidP="00D34D59">
      <w:pPr>
        <w:pStyle w:val="ListParagraph"/>
        <w:numPr>
          <w:ilvl w:val="0"/>
          <w:numId w:val="49"/>
        </w:numPr>
        <w:rPr>
          <w:rFonts w:asciiTheme="minorHAnsi" w:eastAsia="Calibri" w:hAnsiTheme="minorHAnsi" w:cs="Arial"/>
          <w:color w:val="1F497D" w:themeColor="text2"/>
          <w:sz w:val="22"/>
          <w:szCs w:val="22"/>
        </w:rPr>
      </w:pPr>
      <w:r w:rsidRPr="00D34D59">
        <w:rPr>
          <w:rFonts w:asciiTheme="minorHAnsi" w:eastAsia="Calibri" w:hAnsiTheme="minorHAnsi" w:cs="Arial"/>
          <w:color w:val="1F497D" w:themeColor="text2"/>
          <w:sz w:val="22"/>
          <w:szCs w:val="22"/>
        </w:rPr>
        <w:t>3% were informal</w:t>
      </w:r>
    </w:p>
    <w:p w:rsidR="00912BA5" w:rsidRDefault="00912BA5" w:rsidP="00DA4585">
      <w:pPr>
        <w:pStyle w:val="Default"/>
        <w:rPr>
          <w:rFonts w:asciiTheme="minorHAnsi" w:hAnsiTheme="minorHAnsi"/>
          <w:color w:val="1F497D" w:themeColor="text2"/>
          <w:sz w:val="22"/>
          <w:szCs w:val="22"/>
        </w:rPr>
      </w:pPr>
    </w:p>
    <w:p w:rsidR="00B458A9" w:rsidRDefault="00B458A9" w:rsidP="00DA4585">
      <w:pPr>
        <w:pStyle w:val="Default"/>
        <w:rPr>
          <w:rFonts w:asciiTheme="minorHAnsi" w:hAnsiTheme="minorHAnsi"/>
          <w:color w:val="1F497D" w:themeColor="text2"/>
          <w:sz w:val="22"/>
          <w:szCs w:val="22"/>
        </w:rPr>
      </w:pPr>
      <w:r>
        <w:rPr>
          <w:rFonts w:asciiTheme="minorHAnsi" w:hAnsiTheme="minorHAnsi"/>
          <w:color w:val="1F497D" w:themeColor="text2"/>
          <w:sz w:val="22"/>
          <w:szCs w:val="22"/>
        </w:rPr>
        <w:lastRenderedPageBreak/>
        <w:t>A copy of the presentation and posters at the community meetings are included as attachments.</w:t>
      </w:r>
    </w:p>
    <w:p w:rsidR="00B458A9" w:rsidRDefault="00B458A9" w:rsidP="00DA4585">
      <w:pPr>
        <w:pStyle w:val="Default"/>
        <w:rPr>
          <w:rFonts w:asciiTheme="minorHAnsi" w:hAnsiTheme="minorHAnsi"/>
          <w:color w:val="1F497D" w:themeColor="text2"/>
          <w:sz w:val="22"/>
          <w:szCs w:val="22"/>
        </w:rPr>
      </w:pPr>
    </w:p>
    <w:p w:rsidR="00D34D59" w:rsidRDefault="00D34D59" w:rsidP="00DA4585">
      <w:pPr>
        <w:pStyle w:val="Default"/>
        <w:rPr>
          <w:rFonts w:asciiTheme="minorHAnsi" w:hAnsiTheme="minorHAnsi"/>
          <w:color w:val="1F497D" w:themeColor="text2"/>
          <w:sz w:val="22"/>
          <w:szCs w:val="22"/>
        </w:rPr>
      </w:pPr>
      <w:r>
        <w:rPr>
          <w:rFonts w:asciiTheme="minorHAnsi" w:hAnsiTheme="minorHAnsi"/>
          <w:color w:val="1F497D" w:themeColor="text2"/>
          <w:sz w:val="22"/>
          <w:szCs w:val="22"/>
        </w:rPr>
        <w:t xml:space="preserve">A further meeting was also held with NSW Farmers on </w:t>
      </w:r>
      <w:r w:rsidR="004D2A2E">
        <w:rPr>
          <w:rFonts w:asciiTheme="minorHAnsi" w:hAnsiTheme="minorHAnsi"/>
          <w:color w:val="1F497D" w:themeColor="text2"/>
          <w:sz w:val="22"/>
          <w:szCs w:val="22"/>
        </w:rPr>
        <w:t xml:space="preserve">Thursday </w:t>
      </w:r>
      <w:r>
        <w:rPr>
          <w:rFonts w:asciiTheme="minorHAnsi" w:hAnsiTheme="minorHAnsi"/>
          <w:color w:val="1F497D" w:themeColor="text2"/>
          <w:sz w:val="22"/>
          <w:szCs w:val="22"/>
        </w:rPr>
        <w:t>31 October 2013 and there were 90 members in attendance. A vote was taken by a show of hands and the overwhelming majority were in favour of the 3.3% option.</w:t>
      </w:r>
    </w:p>
    <w:p w:rsidR="00D34D59" w:rsidRDefault="00D34D59" w:rsidP="00DA4585">
      <w:pPr>
        <w:pStyle w:val="Default"/>
        <w:rPr>
          <w:rFonts w:asciiTheme="minorHAnsi" w:hAnsiTheme="minorHAnsi"/>
          <w:color w:val="1F497D" w:themeColor="text2"/>
          <w:sz w:val="22"/>
          <w:szCs w:val="22"/>
        </w:rPr>
      </w:pPr>
    </w:p>
    <w:p w:rsidR="00D66FBA" w:rsidRDefault="00912BA5" w:rsidP="004D2A2E">
      <w:pPr>
        <w:pStyle w:val="Default"/>
        <w:rPr>
          <w:rFonts w:asciiTheme="minorHAnsi" w:hAnsiTheme="minorHAnsi"/>
          <w:color w:val="1F497D" w:themeColor="text2"/>
          <w:sz w:val="22"/>
          <w:szCs w:val="22"/>
        </w:rPr>
      </w:pPr>
      <w:r w:rsidRPr="00DA4585">
        <w:rPr>
          <w:rFonts w:asciiTheme="minorHAnsi" w:hAnsiTheme="minorHAnsi"/>
          <w:color w:val="1F497D" w:themeColor="text2"/>
          <w:sz w:val="22"/>
          <w:szCs w:val="22"/>
        </w:rPr>
        <w:t xml:space="preserve">The report from these surveys was considered by Council at its meeting on 11 November 2013 and in the same meeting they formally resolved to submit an intention to apply to IPART. Information and the survey report </w:t>
      </w:r>
      <w:r>
        <w:rPr>
          <w:rFonts w:asciiTheme="minorHAnsi" w:hAnsiTheme="minorHAnsi"/>
          <w:color w:val="1F497D" w:themeColor="text2"/>
          <w:sz w:val="22"/>
          <w:szCs w:val="22"/>
        </w:rPr>
        <w:t>were</w:t>
      </w:r>
      <w:r w:rsidRPr="00DA4585">
        <w:rPr>
          <w:rFonts w:asciiTheme="minorHAnsi" w:hAnsiTheme="minorHAnsi"/>
          <w:color w:val="1F497D" w:themeColor="text2"/>
          <w:sz w:val="22"/>
          <w:szCs w:val="22"/>
        </w:rPr>
        <w:t xml:space="preserve"> placed on Council’s </w:t>
      </w:r>
      <w:r w:rsidRPr="00906223">
        <w:rPr>
          <w:rFonts w:asciiTheme="minorHAnsi" w:hAnsiTheme="minorHAnsi"/>
          <w:color w:val="1F497D" w:themeColor="text2"/>
          <w:sz w:val="22"/>
          <w:szCs w:val="22"/>
          <w:u w:val="single"/>
        </w:rPr>
        <w:t>website</w:t>
      </w:r>
      <w:r>
        <w:rPr>
          <w:rFonts w:asciiTheme="minorHAnsi" w:hAnsiTheme="minorHAnsi"/>
          <w:color w:val="1F497D" w:themeColor="text2"/>
          <w:sz w:val="22"/>
          <w:szCs w:val="22"/>
          <w:u w:val="single"/>
        </w:rPr>
        <w:t>.</w:t>
      </w:r>
      <w:r w:rsidRPr="00DA4585">
        <w:rPr>
          <w:rFonts w:asciiTheme="minorHAnsi" w:hAnsiTheme="minorHAnsi"/>
          <w:color w:val="1F497D" w:themeColor="text2"/>
          <w:sz w:val="22"/>
          <w:szCs w:val="22"/>
        </w:rPr>
        <w:t xml:space="preserve"> Council also provided full details on the special rate variation and the </w:t>
      </w:r>
      <w:r w:rsidRPr="00906223">
        <w:rPr>
          <w:rFonts w:asciiTheme="minorHAnsi" w:hAnsiTheme="minorHAnsi"/>
          <w:color w:val="1F497D" w:themeColor="text2"/>
          <w:sz w:val="22"/>
          <w:szCs w:val="22"/>
          <w:u w:val="single"/>
        </w:rPr>
        <w:t>rates calculator</w:t>
      </w:r>
      <w:r w:rsidRPr="00DA4585">
        <w:rPr>
          <w:rFonts w:asciiTheme="minorHAnsi" w:hAnsiTheme="minorHAnsi"/>
          <w:color w:val="1F497D" w:themeColor="text2"/>
          <w:sz w:val="22"/>
          <w:szCs w:val="22"/>
        </w:rPr>
        <w:t xml:space="preserve"> on the Council </w:t>
      </w:r>
      <w:r w:rsidRPr="00906223">
        <w:rPr>
          <w:rFonts w:asciiTheme="minorHAnsi" w:hAnsiTheme="minorHAnsi"/>
          <w:color w:val="1F497D" w:themeColor="text2"/>
          <w:sz w:val="22"/>
          <w:szCs w:val="22"/>
          <w:u w:val="single"/>
        </w:rPr>
        <w:t>website</w:t>
      </w:r>
      <w:r w:rsidRPr="00906223">
        <w:rPr>
          <w:rFonts w:asciiTheme="minorHAnsi" w:hAnsiTheme="minorHAnsi"/>
          <w:color w:val="1F497D" w:themeColor="text2"/>
          <w:sz w:val="22"/>
          <w:szCs w:val="22"/>
        </w:rPr>
        <w:t>.</w:t>
      </w:r>
    </w:p>
    <w:p w:rsidR="004D2A2E" w:rsidRDefault="004D2A2E" w:rsidP="004D2A2E">
      <w:pPr>
        <w:pStyle w:val="Default"/>
        <w:rPr>
          <w:rFonts w:asciiTheme="minorHAnsi" w:hAnsiTheme="minorHAnsi"/>
          <w:color w:val="1F497D" w:themeColor="text2"/>
          <w:sz w:val="22"/>
          <w:szCs w:val="22"/>
        </w:rPr>
      </w:pPr>
    </w:p>
    <w:p w:rsidR="00912BA5" w:rsidRPr="00912BA5" w:rsidRDefault="00912BA5" w:rsidP="00912BA5">
      <w:pPr>
        <w:jc w:val="center"/>
        <w:rPr>
          <w:rFonts w:asciiTheme="minorHAnsi" w:hAnsiTheme="minorHAnsi"/>
          <w:b/>
          <w:color w:val="1F497D" w:themeColor="text2"/>
          <w:sz w:val="22"/>
          <w:szCs w:val="22"/>
        </w:rPr>
      </w:pPr>
      <w:r w:rsidRPr="00912BA5">
        <w:rPr>
          <w:rFonts w:asciiTheme="minorHAnsi" w:hAnsiTheme="minorHAnsi"/>
          <w:b/>
          <w:color w:val="1F497D" w:themeColor="text2"/>
          <w:sz w:val="22"/>
          <w:szCs w:val="22"/>
        </w:rPr>
        <w:t>VILLAGE MEETINGS TO DISCUSS FUTURE SERVICES AND FUNDING</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276"/>
        <w:gridCol w:w="2268"/>
        <w:gridCol w:w="1701"/>
      </w:tblGrid>
      <w:tr w:rsidR="00763253" w:rsidRPr="00912BA5" w:rsidTr="00763253">
        <w:trPr>
          <w:trHeight w:val="268"/>
        </w:trPr>
        <w:tc>
          <w:tcPr>
            <w:tcW w:w="1418" w:type="dxa"/>
          </w:tcPr>
          <w:p w:rsidR="00763253" w:rsidRPr="00912BA5" w:rsidRDefault="00763253" w:rsidP="00B34AA8">
            <w:pPr>
              <w:jc w:val="center"/>
              <w:rPr>
                <w:rFonts w:asciiTheme="minorHAnsi" w:hAnsiTheme="minorHAnsi"/>
                <w:b/>
                <w:color w:val="1F497D" w:themeColor="text2"/>
                <w:sz w:val="22"/>
                <w:szCs w:val="22"/>
              </w:rPr>
            </w:pPr>
            <w:r w:rsidRPr="00912BA5">
              <w:rPr>
                <w:rFonts w:asciiTheme="minorHAnsi" w:hAnsiTheme="minorHAnsi"/>
                <w:b/>
                <w:color w:val="1F497D" w:themeColor="text2"/>
                <w:sz w:val="22"/>
                <w:szCs w:val="22"/>
              </w:rPr>
              <w:t>DAY &amp; DATE</w:t>
            </w:r>
          </w:p>
        </w:tc>
        <w:tc>
          <w:tcPr>
            <w:tcW w:w="992" w:type="dxa"/>
          </w:tcPr>
          <w:p w:rsidR="00763253" w:rsidRPr="00912BA5" w:rsidRDefault="00763253" w:rsidP="00B34AA8">
            <w:pPr>
              <w:jc w:val="center"/>
              <w:rPr>
                <w:rFonts w:asciiTheme="minorHAnsi" w:hAnsiTheme="minorHAnsi"/>
                <w:b/>
                <w:color w:val="1F497D" w:themeColor="text2"/>
                <w:sz w:val="22"/>
                <w:szCs w:val="22"/>
              </w:rPr>
            </w:pPr>
            <w:r w:rsidRPr="00912BA5">
              <w:rPr>
                <w:rFonts w:asciiTheme="minorHAnsi" w:hAnsiTheme="minorHAnsi"/>
                <w:b/>
                <w:color w:val="1F497D" w:themeColor="text2"/>
                <w:sz w:val="22"/>
                <w:szCs w:val="22"/>
              </w:rPr>
              <w:t>TIME</w:t>
            </w:r>
          </w:p>
        </w:tc>
        <w:tc>
          <w:tcPr>
            <w:tcW w:w="1276" w:type="dxa"/>
          </w:tcPr>
          <w:p w:rsidR="00763253" w:rsidRPr="00912BA5" w:rsidRDefault="00763253" w:rsidP="00B34AA8">
            <w:pPr>
              <w:jc w:val="center"/>
              <w:rPr>
                <w:rFonts w:asciiTheme="minorHAnsi" w:hAnsiTheme="minorHAnsi"/>
                <w:b/>
                <w:color w:val="1F497D" w:themeColor="text2"/>
                <w:sz w:val="22"/>
                <w:szCs w:val="22"/>
              </w:rPr>
            </w:pPr>
            <w:r w:rsidRPr="00912BA5">
              <w:rPr>
                <w:rFonts w:asciiTheme="minorHAnsi" w:hAnsiTheme="minorHAnsi"/>
                <w:b/>
                <w:color w:val="1F497D" w:themeColor="text2"/>
                <w:sz w:val="22"/>
                <w:szCs w:val="22"/>
              </w:rPr>
              <w:t>LOCATION</w:t>
            </w:r>
          </w:p>
        </w:tc>
        <w:tc>
          <w:tcPr>
            <w:tcW w:w="2268" w:type="dxa"/>
          </w:tcPr>
          <w:p w:rsidR="00763253" w:rsidRPr="00912BA5" w:rsidRDefault="00763253" w:rsidP="00B34AA8">
            <w:pPr>
              <w:jc w:val="center"/>
              <w:rPr>
                <w:rFonts w:asciiTheme="minorHAnsi" w:hAnsiTheme="minorHAnsi"/>
                <w:b/>
                <w:color w:val="1F497D" w:themeColor="text2"/>
                <w:sz w:val="22"/>
                <w:szCs w:val="22"/>
              </w:rPr>
            </w:pPr>
            <w:r w:rsidRPr="00912BA5">
              <w:rPr>
                <w:rFonts w:asciiTheme="minorHAnsi" w:hAnsiTheme="minorHAnsi"/>
                <w:b/>
                <w:color w:val="1F497D" w:themeColor="text2"/>
                <w:sz w:val="22"/>
                <w:szCs w:val="22"/>
              </w:rPr>
              <w:t>VENUE</w:t>
            </w:r>
          </w:p>
        </w:tc>
        <w:tc>
          <w:tcPr>
            <w:tcW w:w="1701" w:type="dxa"/>
          </w:tcPr>
          <w:p w:rsidR="00763253" w:rsidRPr="00912BA5" w:rsidRDefault="00763253" w:rsidP="00B34AA8">
            <w:pPr>
              <w:jc w:val="center"/>
              <w:rPr>
                <w:rFonts w:asciiTheme="minorHAnsi" w:hAnsiTheme="minorHAnsi"/>
                <w:b/>
                <w:color w:val="1F497D" w:themeColor="text2"/>
                <w:sz w:val="22"/>
                <w:szCs w:val="22"/>
              </w:rPr>
            </w:pPr>
            <w:r>
              <w:rPr>
                <w:rFonts w:asciiTheme="minorHAnsi" w:hAnsiTheme="minorHAnsi"/>
                <w:b/>
                <w:color w:val="1F497D" w:themeColor="text2"/>
                <w:sz w:val="22"/>
                <w:szCs w:val="22"/>
              </w:rPr>
              <w:t>No. in Attendance</w:t>
            </w:r>
          </w:p>
        </w:tc>
      </w:tr>
      <w:tr w:rsidR="00763253" w:rsidRPr="00912BA5" w:rsidTr="00763253">
        <w:trPr>
          <w:trHeight w:val="502"/>
        </w:trPr>
        <w:tc>
          <w:tcPr>
            <w:tcW w:w="1418" w:type="dxa"/>
          </w:tcPr>
          <w:p w:rsidR="00763253" w:rsidRPr="00912BA5" w:rsidRDefault="00763253" w:rsidP="00B34AA8">
            <w:pPr>
              <w:jc w:val="center"/>
              <w:rPr>
                <w:rFonts w:asciiTheme="minorHAnsi" w:hAnsiTheme="minorHAnsi"/>
                <w:color w:val="1F497D" w:themeColor="text2"/>
                <w:sz w:val="22"/>
                <w:szCs w:val="22"/>
              </w:rPr>
            </w:pPr>
            <w:r>
              <w:rPr>
                <w:rFonts w:asciiTheme="minorHAnsi" w:hAnsiTheme="minorHAnsi"/>
                <w:color w:val="1F497D" w:themeColor="text2"/>
                <w:sz w:val="22"/>
                <w:szCs w:val="22"/>
              </w:rPr>
              <w:t>15/10/2013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1.00pm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Blayney</w:t>
            </w:r>
          </w:p>
        </w:tc>
        <w:tc>
          <w:tcPr>
            <w:tcW w:w="2268" w:type="dxa"/>
          </w:tcPr>
          <w:p w:rsidR="00763253" w:rsidRPr="00912BA5" w:rsidRDefault="00763253" w:rsidP="00763253">
            <w:pPr>
              <w:rPr>
                <w:rFonts w:asciiTheme="minorHAnsi" w:hAnsiTheme="minorHAnsi"/>
                <w:color w:val="1F497D" w:themeColor="text2"/>
                <w:sz w:val="22"/>
                <w:szCs w:val="22"/>
              </w:rPr>
            </w:pPr>
            <w:r w:rsidRPr="00912BA5">
              <w:rPr>
                <w:rFonts w:asciiTheme="minorHAnsi" w:hAnsiTheme="minorHAnsi"/>
                <w:b/>
                <w:color w:val="1F497D" w:themeColor="text2"/>
                <w:sz w:val="22"/>
                <w:szCs w:val="22"/>
              </w:rPr>
              <w:t>Blayney Shire Community Centre</w:t>
            </w:r>
            <w:r w:rsidRPr="00912BA5">
              <w:rPr>
                <w:rFonts w:asciiTheme="minorHAnsi" w:hAnsiTheme="minorHAnsi"/>
                <w:color w:val="1F497D" w:themeColor="text2"/>
                <w:sz w:val="22"/>
                <w:szCs w:val="22"/>
              </w:rPr>
              <w:t xml:space="preserve">   </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8</w:t>
            </w:r>
          </w:p>
        </w:tc>
      </w:tr>
      <w:tr w:rsidR="00763253" w:rsidRPr="00912BA5" w:rsidTr="00763253">
        <w:trPr>
          <w:trHeight w:val="435"/>
        </w:trPr>
        <w:tc>
          <w:tcPr>
            <w:tcW w:w="1418" w:type="dxa"/>
          </w:tcPr>
          <w:p w:rsidR="00763253" w:rsidRPr="00912BA5" w:rsidRDefault="00763253" w:rsidP="00B34AA8">
            <w:pPr>
              <w:jc w:val="center"/>
              <w:rPr>
                <w:rFonts w:asciiTheme="minorHAnsi" w:hAnsiTheme="minorHAnsi"/>
                <w:color w:val="1F497D" w:themeColor="text2"/>
                <w:sz w:val="22"/>
                <w:szCs w:val="22"/>
              </w:rPr>
            </w:pPr>
            <w:r>
              <w:rPr>
                <w:rFonts w:asciiTheme="minorHAnsi" w:hAnsiTheme="minorHAnsi"/>
                <w:color w:val="1F497D" w:themeColor="text2"/>
                <w:sz w:val="22"/>
                <w:szCs w:val="22"/>
              </w:rPr>
              <w:t>15/10/2013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5:30pm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Carcoar</w:t>
            </w:r>
          </w:p>
        </w:tc>
        <w:tc>
          <w:tcPr>
            <w:tcW w:w="2268" w:type="dxa"/>
          </w:tcPr>
          <w:p w:rsidR="00763253" w:rsidRPr="00912BA5" w:rsidRDefault="00763253" w:rsidP="00B34AA8">
            <w:pPr>
              <w:rPr>
                <w:rFonts w:asciiTheme="minorHAnsi" w:hAnsiTheme="minorHAnsi"/>
                <w:color w:val="1F497D" w:themeColor="text2"/>
                <w:sz w:val="22"/>
                <w:szCs w:val="22"/>
              </w:rPr>
            </w:pPr>
            <w:r w:rsidRPr="00912BA5">
              <w:rPr>
                <w:rFonts w:asciiTheme="minorHAnsi" w:hAnsiTheme="minorHAnsi"/>
                <w:b/>
                <w:color w:val="1F497D" w:themeColor="text2"/>
                <w:sz w:val="22"/>
                <w:szCs w:val="22"/>
              </w:rPr>
              <w:t>Carcoar School of Arts</w:t>
            </w:r>
            <w:r w:rsidRPr="00912BA5">
              <w:rPr>
                <w:rFonts w:asciiTheme="minorHAnsi" w:hAnsiTheme="minorHAnsi"/>
                <w:color w:val="1F497D" w:themeColor="text2"/>
                <w:sz w:val="22"/>
                <w:szCs w:val="22"/>
              </w:rPr>
              <w:t xml:space="preserve"> </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16</w:t>
            </w:r>
          </w:p>
        </w:tc>
      </w:tr>
      <w:tr w:rsidR="00763253" w:rsidRPr="00912BA5" w:rsidTr="00763253">
        <w:trPr>
          <w:trHeight w:val="502"/>
        </w:trPr>
        <w:tc>
          <w:tcPr>
            <w:tcW w:w="1418"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16/10/2013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3.30pm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Mandurama</w:t>
            </w:r>
          </w:p>
        </w:tc>
        <w:tc>
          <w:tcPr>
            <w:tcW w:w="2268" w:type="dxa"/>
          </w:tcPr>
          <w:p w:rsidR="00763253" w:rsidRPr="00912BA5" w:rsidRDefault="00763253" w:rsidP="00B34AA8">
            <w:pPr>
              <w:rPr>
                <w:rFonts w:asciiTheme="minorHAnsi" w:hAnsiTheme="minorHAnsi"/>
                <w:color w:val="1F497D" w:themeColor="text2"/>
                <w:sz w:val="22"/>
                <w:szCs w:val="22"/>
              </w:rPr>
            </w:pPr>
            <w:r w:rsidRPr="00912BA5">
              <w:rPr>
                <w:rFonts w:asciiTheme="minorHAnsi" w:hAnsiTheme="minorHAnsi"/>
                <w:b/>
                <w:color w:val="1F497D" w:themeColor="text2"/>
                <w:sz w:val="22"/>
                <w:szCs w:val="22"/>
              </w:rPr>
              <w:t xml:space="preserve">Mandurama Public Hall </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8</w:t>
            </w:r>
          </w:p>
        </w:tc>
      </w:tr>
      <w:tr w:rsidR="00763253" w:rsidRPr="00912BA5" w:rsidTr="00763253">
        <w:trPr>
          <w:trHeight w:val="502"/>
        </w:trPr>
        <w:tc>
          <w:tcPr>
            <w:tcW w:w="1418" w:type="dxa"/>
          </w:tcPr>
          <w:p w:rsidR="00763253" w:rsidRPr="00912BA5" w:rsidRDefault="00763253" w:rsidP="00B34AA8">
            <w:pPr>
              <w:jc w:val="center"/>
              <w:rPr>
                <w:rFonts w:asciiTheme="minorHAnsi" w:hAnsiTheme="minorHAnsi"/>
                <w:color w:val="1F497D" w:themeColor="text2"/>
                <w:sz w:val="22"/>
                <w:szCs w:val="22"/>
              </w:rPr>
            </w:pPr>
            <w:r>
              <w:rPr>
                <w:rFonts w:asciiTheme="minorHAnsi" w:hAnsiTheme="minorHAnsi"/>
                <w:color w:val="1F497D" w:themeColor="text2"/>
                <w:sz w:val="22"/>
                <w:szCs w:val="22"/>
              </w:rPr>
              <w:t>16/10/2013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6.30pm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Lyndhurst</w:t>
            </w:r>
          </w:p>
        </w:tc>
        <w:tc>
          <w:tcPr>
            <w:tcW w:w="2268" w:type="dxa"/>
          </w:tcPr>
          <w:p w:rsidR="00763253" w:rsidRPr="00912BA5" w:rsidRDefault="00763253" w:rsidP="00B34AA8">
            <w:pPr>
              <w:rPr>
                <w:rFonts w:asciiTheme="minorHAnsi" w:hAnsiTheme="minorHAnsi"/>
                <w:color w:val="1F497D" w:themeColor="text2"/>
                <w:sz w:val="22"/>
                <w:szCs w:val="22"/>
              </w:rPr>
            </w:pPr>
            <w:r w:rsidRPr="00912BA5">
              <w:rPr>
                <w:rFonts w:asciiTheme="minorHAnsi" w:hAnsiTheme="minorHAnsi"/>
                <w:b/>
                <w:color w:val="1F497D" w:themeColor="text2"/>
                <w:sz w:val="22"/>
                <w:szCs w:val="22"/>
              </w:rPr>
              <w:t>Lyndhurst Soldiers Memorial Hall</w:t>
            </w:r>
            <w:r w:rsidRPr="00912BA5">
              <w:rPr>
                <w:rFonts w:asciiTheme="minorHAnsi" w:hAnsiTheme="minorHAnsi"/>
                <w:color w:val="1F497D" w:themeColor="text2"/>
                <w:sz w:val="22"/>
                <w:szCs w:val="22"/>
              </w:rPr>
              <w:t xml:space="preserve"> </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12</w:t>
            </w:r>
          </w:p>
        </w:tc>
      </w:tr>
      <w:tr w:rsidR="00763253" w:rsidRPr="00912BA5" w:rsidTr="00763253">
        <w:trPr>
          <w:trHeight w:val="502"/>
        </w:trPr>
        <w:tc>
          <w:tcPr>
            <w:tcW w:w="1418" w:type="dxa"/>
          </w:tcPr>
          <w:p w:rsidR="00763253" w:rsidRPr="00912BA5" w:rsidRDefault="00763253" w:rsidP="00B34AA8">
            <w:pPr>
              <w:jc w:val="center"/>
              <w:rPr>
                <w:rFonts w:asciiTheme="minorHAnsi" w:hAnsiTheme="minorHAnsi"/>
                <w:color w:val="1F497D" w:themeColor="text2"/>
                <w:sz w:val="22"/>
                <w:szCs w:val="22"/>
              </w:rPr>
            </w:pPr>
            <w:r>
              <w:rPr>
                <w:rFonts w:asciiTheme="minorHAnsi" w:hAnsiTheme="minorHAnsi"/>
                <w:color w:val="1F497D" w:themeColor="text2"/>
                <w:sz w:val="22"/>
                <w:szCs w:val="22"/>
              </w:rPr>
              <w:t>21/10/2013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5.30pm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Barry</w:t>
            </w:r>
          </w:p>
        </w:tc>
        <w:tc>
          <w:tcPr>
            <w:tcW w:w="2268" w:type="dxa"/>
          </w:tcPr>
          <w:p w:rsidR="00763253" w:rsidRPr="00912BA5" w:rsidRDefault="00763253" w:rsidP="00B34AA8">
            <w:pPr>
              <w:rPr>
                <w:rFonts w:asciiTheme="minorHAnsi" w:hAnsiTheme="minorHAnsi"/>
                <w:color w:val="1F497D" w:themeColor="text2"/>
                <w:sz w:val="22"/>
                <w:szCs w:val="22"/>
              </w:rPr>
            </w:pPr>
            <w:r w:rsidRPr="00912BA5">
              <w:rPr>
                <w:rFonts w:asciiTheme="minorHAnsi" w:hAnsiTheme="minorHAnsi"/>
                <w:b/>
                <w:color w:val="1F497D" w:themeColor="text2"/>
                <w:sz w:val="22"/>
                <w:szCs w:val="22"/>
              </w:rPr>
              <w:t xml:space="preserve">Barry Community Hall </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13</w:t>
            </w:r>
          </w:p>
        </w:tc>
      </w:tr>
      <w:tr w:rsidR="00763253" w:rsidRPr="00912BA5" w:rsidTr="00763253">
        <w:trPr>
          <w:trHeight w:val="463"/>
        </w:trPr>
        <w:tc>
          <w:tcPr>
            <w:tcW w:w="1418" w:type="dxa"/>
          </w:tcPr>
          <w:p w:rsidR="00763253" w:rsidRPr="00912BA5" w:rsidRDefault="00763253" w:rsidP="00B34AA8">
            <w:pPr>
              <w:jc w:val="center"/>
              <w:rPr>
                <w:rFonts w:asciiTheme="minorHAnsi" w:hAnsiTheme="minorHAnsi"/>
                <w:color w:val="1F497D" w:themeColor="text2"/>
                <w:sz w:val="22"/>
                <w:szCs w:val="22"/>
              </w:rPr>
            </w:pPr>
            <w:r>
              <w:rPr>
                <w:rFonts w:asciiTheme="minorHAnsi" w:hAnsiTheme="minorHAnsi"/>
                <w:color w:val="1F497D" w:themeColor="text2"/>
                <w:sz w:val="22"/>
                <w:szCs w:val="22"/>
              </w:rPr>
              <w:t>22/10/2013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6.30pm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Millthorpe</w:t>
            </w:r>
          </w:p>
        </w:tc>
        <w:tc>
          <w:tcPr>
            <w:tcW w:w="2268" w:type="dxa"/>
          </w:tcPr>
          <w:p w:rsidR="00763253" w:rsidRPr="00912BA5" w:rsidRDefault="00763253" w:rsidP="00B34AA8">
            <w:pPr>
              <w:rPr>
                <w:rFonts w:asciiTheme="minorHAnsi" w:hAnsiTheme="minorHAnsi"/>
                <w:color w:val="1F497D" w:themeColor="text2"/>
                <w:sz w:val="22"/>
                <w:szCs w:val="22"/>
              </w:rPr>
            </w:pPr>
            <w:r w:rsidRPr="00912BA5">
              <w:rPr>
                <w:rFonts w:asciiTheme="minorHAnsi" w:hAnsiTheme="minorHAnsi"/>
                <w:b/>
                <w:color w:val="1F497D" w:themeColor="text2"/>
                <w:sz w:val="22"/>
                <w:szCs w:val="22"/>
              </w:rPr>
              <w:t>Millthorpe School of Arts</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11</w:t>
            </w:r>
          </w:p>
        </w:tc>
      </w:tr>
      <w:tr w:rsidR="00763253" w:rsidRPr="00912BA5" w:rsidTr="00763253">
        <w:trPr>
          <w:trHeight w:val="552"/>
        </w:trPr>
        <w:tc>
          <w:tcPr>
            <w:tcW w:w="1418"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23/10/2013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3.30pm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Newbridge</w:t>
            </w:r>
          </w:p>
        </w:tc>
        <w:tc>
          <w:tcPr>
            <w:tcW w:w="2268" w:type="dxa"/>
          </w:tcPr>
          <w:p w:rsidR="00763253" w:rsidRPr="00912BA5" w:rsidRDefault="00763253" w:rsidP="00B34AA8">
            <w:pPr>
              <w:rPr>
                <w:rFonts w:asciiTheme="minorHAnsi" w:hAnsiTheme="minorHAnsi"/>
                <w:color w:val="1F497D" w:themeColor="text2"/>
                <w:sz w:val="22"/>
                <w:szCs w:val="22"/>
              </w:rPr>
            </w:pPr>
            <w:r w:rsidRPr="00912BA5">
              <w:rPr>
                <w:rFonts w:asciiTheme="minorHAnsi" w:hAnsiTheme="minorHAnsi"/>
                <w:b/>
                <w:color w:val="1F497D" w:themeColor="text2"/>
                <w:sz w:val="22"/>
                <w:szCs w:val="22"/>
              </w:rPr>
              <w:t>Newbridge Village Hall</w:t>
            </w:r>
            <w:r w:rsidRPr="00912BA5">
              <w:rPr>
                <w:rFonts w:asciiTheme="minorHAnsi" w:hAnsiTheme="minorHAnsi"/>
                <w:color w:val="1F497D" w:themeColor="text2"/>
                <w:sz w:val="22"/>
                <w:szCs w:val="22"/>
              </w:rPr>
              <w:t xml:space="preserve"> </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8</w:t>
            </w:r>
          </w:p>
        </w:tc>
      </w:tr>
      <w:tr w:rsidR="00763253" w:rsidRPr="00912BA5" w:rsidTr="00763253">
        <w:trPr>
          <w:trHeight w:val="573"/>
        </w:trPr>
        <w:tc>
          <w:tcPr>
            <w:tcW w:w="1418" w:type="dxa"/>
          </w:tcPr>
          <w:p w:rsidR="00763253" w:rsidRPr="00912BA5" w:rsidRDefault="00763253" w:rsidP="00B34AA8">
            <w:pPr>
              <w:jc w:val="center"/>
              <w:rPr>
                <w:rFonts w:asciiTheme="minorHAnsi" w:hAnsiTheme="minorHAnsi"/>
                <w:color w:val="1F497D" w:themeColor="text2"/>
                <w:sz w:val="22"/>
                <w:szCs w:val="22"/>
              </w:rPr>
            </w:pPr>
            <w:r>
              <w:rPr>
                <w:rFonts w:asciiTheme="minorHAnsi" w:hAnsiTheme="minorHAnsi"/>
                <w:color w:val="1F497D" w:themeColor="text2"/>
                <w:sz w:val="22"/>
                <w:szCs w:val="22"/>
              </w:rPr>
              <w:t>23/10/2013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5.30pm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Neville</w:t>
            </w:r>
          </w:p>
        </w:tc>
        <w:tc>
          <w:tcPr>
            <w:tcW w:w="2268" w:type="dxa"/>
          </w:tcPr>
          <w:p w:rsidR="00763253" w:rsidRPr="00912BA5" w:rsidRDefault="00763253" w:rsidP="00B34AA8">
            <w:pPr>
              <w:rPr>
                <w:rFonts w:asciiTheme="minorHAnsi" w:hAnsiTheme="minorHAnsi"/>
                <w:color w:val="1F497D" w:themeColor="text2"/>
                <w:sz w:val="22"/>
                <w:szCs w:val="22"/>
              </w:rPr>
            </w:pPr>
            <w:r w:rsidRPr="00912BA5">
              <w:rPr>
                <w:rFonts w:asciiTheme="minorHAnsi" w:hAnsiTheme="minorHAnsi"/>
                <w:b/>
                <w:color w:val="1F497D" w:themeColor="text2"/>
                <w:sz w:val="22"/>
                <w:szCs w:val="22"/>
              </w:rPr>
              <w:t>Neville Public Hall</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13</w:t>
            </w:r>
          </w:p>
        </w:tc>
      </w:tr>
      <w:tr w:rsidR="00763253" w:rsidRPr="00912BA5" w:rsidTr="00763253">
        <w:trPr>
          <w:trHeight w:val="486"/>
        </w:trPr>
        <w:tc>
          <w:tcPr>
            <w:tcW w:w="1418" w:type="dxa"/>
          </w:tcPr>
          <w:p w:rsidR="00763253" w:rsidRPr="00912BA5" w:rsidRDefault="00763253" w:rsidP="00B34AA8">
            <w:pPr>
              <w:jc w:val="center"/>
              <w:rPr>
                <w:rFonts w:asciiTheme="minorHAnsi" w:hAnsiTheme="minorHAnsi"/>
                <w:color w:val="1F497D" w:themeColor="text2"/>
                <w:sz w:val="22"/>
                <w:szCs w:val="22"/>
              </w:rPr>
            </w:pPr>
            <w:r>
              <w:rPr>
                <w:rFonts w:asciiTheme="minorHAnsi" w:hAnsiTheme="minorHAnsi"/>
                <w:color w:val="1F497D" w:themeColor="text2"/>
                <w:sz w:val="22"/>
                <w:szCs w:val="22"/>
              </w:rPr>
              <w:t>24/10/2013</w:t>
            </w:r>
          </w:p>
        </w:tc>
        <w:tc>
          <w:tcPr>
            <w:tcW w:w="992"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5.30pm</w:t>
            </w:r>
          </w:p>
        </w:tc>
        <w:tc>
          <w:tcPr>
            <w:tcW w:w="1276" w:type="dxa"/>
          </w:tcPr>
          <w:p w:rsidR="00763253" w:rsidRPr="00912BA5" w:rsidRDefault="00763253" w:rsidP="00B34AA8">
            <w:pPr>
              <w:jc w:val="center"/>
              <w:rPr>
                <w:rFonts w:asciiTheme="minorHAnsi" w:hAnsiTheme="minorHAnsi"/>
                <w:color w:val="1F497D" w:themeColor="text2"/>
                <w:sz w:val="22"/>
                <w:szCs w:val="22"/>
              </w:rPr>
            </w:pPr>
            <w:r w:rsidRPr="00912BA5">
              <w:rPr>
                <w:rFonts w:asciiTheme="minorHAnsi" w:hAnsiTheme="minorHAnsi"/>
                <w:color w:val="1F497D" w:themeColor="text2"/>
                <w:sz w:val="22"/>
                <w:szCs w:val="22"/>
              </w:rPr>
              <w:t>Blayney</w:t>
            </w:r>
          </w:p>
        </w:tc>
        <w:tc>
          <w:tcPr>
            <w:tcW w:w="2268" w:type="dxa"/>
          </w:tcPr>
          <w:p w:rsidR="00763253" w:rsidRPr="00912BA5" w:rsidRDefault="00763253" w:rsidP="00B34AA8">
            <w:pPr>
              <w:rPr>
                <w:rFonts w:asciiTheme="minorHAnsi" w:hAnsiTheme="minorHAnsi"/>
                <w:color w:val="1F497D" w:themeColor="text2"/>
                <w:sz w:val="22"/>
                <w:szCs w:val="22"/>
              </w:rPr>
            </w:pPr>
            <w:r w:rsidRPr="00912BA5">
              <w:rPr>
                <w:rFonts w:asciiTheme="minorHAnsi" w:hAnsiTheme="minorHAnsi"/>
                <w:b/>
                <w:color w:val="1F497D" w:themeColor="text2"/>
                <w:sz w:val="22"/>
                <w:szCs w:val="22"/>
              </w:rPr>
              <w:t>Blayney Shire Community Centre</w:t>
            </w:r>
            <w:r w:rsidRPr="00912BA5">
              <w:rPr>
                <w:rFonts w:asciiTheme="minorHAnsi" w:hAnsiTheme="minorHAnsi"/>
                <w:color w:val="1F497D" w:themeColor="text2"/>
                <w:sz w:val="22"/>
                <w:szCs w:val="22"/>
              </w:rPr>
              <w:t xml:space="preserve"> </w:t>
            </w:r>
          </w:p>
        </w:tc>
        <w:tc>
          <w:tcPr>
            <w:tcW w:w="1701" w:type="dxa"/>
          </w:tcPr>
          <w:p w:rsidR="00763253" w:rsidRPr="00912BA5" w:rsidRDefault="00763253" w:rsidP="00763253">
            <w:pPr>
              <w:jc w:val="center"/>
              <w:rPr>
                <w:rFonts w:asciiTheme="minorHAnsi" w:hAnsiTheme="minorHAnsi"/>
                <w:color w:val="1F497D" w:themeColor="text2"/>
                <w:sz w:val="22"/>
                <w:szCs w:val="22"/>
              </w:rPr>
            </w:pPr>
            <w:r>
              <w:rPr>
                <w:rFonts w:asciiTheme="minorHAnsi" w:hAnsiTheme="minorHAnsi"/>
                <w:color w:val="1F497D" w:themeColor="text2"/>
                <w:sz w:val="22"/>
                <w:szCs w:val="22"/>
              </w:rPr>
              <w:t>21</w:t>
            </w:r>
          </w:p>
        </w:tc>
      </w:tr>
      <w:tr w:rsidR="00763253" w:rsidRPr="00912BA5" w:rsidTr="00763253">
        <w:trPr>
          <w:trHeight w:val="486"/>
        </w:trPr>
        <w:tc>
          <w:tcPr>
            <w:tcW w:w="1418" w:type="dxa"/>
          </w:tcPr>
          <w:p w:rsidR="00763253" w:rsidRPr="00763253" w:rsidRDefault="00763253" w:rsidP="00763253">
            <w:pPr>
              <w:jc w:val="center"/>
              <w:rPr>
                <w:rFonts w:asciiTheme="minorHAnsi" w:hAnsiTheme="minorHAnsi"/>
                <w:i/>
                <w:color w:val="1F497D" w:themeColor="text2"/>
                <w:sz w:val="22"/>
                <w:szCs w:val="22"/>
              </w:rPr>
            </w:pPr>
            <w:r w:rsidRPr="00763253">
              <w:rPr>
                <w:rFonts w:asciiTheme="minorHAnsi" w:hAnsiTheme="minorHAnsi"/>
                <w:i/>
                <w:color w:val="1F497D" w:themeColor="text2"/>
                <w:sz w:val="22"/>
                <w:szCs w:val="22"/>
              </w:rPr>
              <w:t>31/10/2013</w:t>
            </w:r>
          </w:p>
        </w:tc>
        <w:tc>
          <w:tcPr>
            <w:tcW w:w="992" w:type="dxa"/>
          </w:tcPr>
          <w:p w:rsidR="00763253" w:rsidRPr="00763253" w:rsidRDefault="00763253" w:rsidP="00763253">
            <w:pPr>
              <w:jc w:val="center"/>
              <w:rPr>
                <w:rFonts w:asciiTheme="minorHAnsi" w:hAnsiTheme="minorHAnsi"/>
                <w:i/>
                <w:color w:val="1F497D" w:themeColor="text2"/>
                <w:sz w:val="22"/>
                <w:szCs w:val="22"/>
              </w:rPr>
            </w:pPr>
            <w:r w:rsidRPr="00763253">
              <w:rPr>
                <w:rFonts w:asciiTheme="minorHAnsi" w:hAnsiTheme="minorHAnsi"/>
                <w:i/>
                <w:color w:val="1F497D" w:themeColor="text2"/>
                <w:sz w:val="22"/>
                <w:szCs w:val="22"/>
              </w:rPr>
              <w:t>7.30pm</w:t>
            </w:r>
          </w:p>
        </w:tc>
        <w:tc>
          <w:tcPr>
            <w:tcW w:w="1276" w:type="dxa"/>
          </w:tcPr>
          <w:p w:rsidR="00763253" w:rsidRPr="00763253" w:rsidRDefault="00763253" w:rsidP="00B34AA8">
            <w:pPr>
              <w:jc w:val="center"/>
              <w:rPr>
                <w:rFonts w:asciiTheme="minorHAnsi" w:hAnsiTheme="minorHAnsi"/>
                <w:i/>
                <w:color w:val="1F497D" w:themeColor="text2"/>
                <w:sz w:val="22"/>
                <w:szCs w:val="22"/>
              </w:rPr>
            </w:pPr>
            <w:r w:rsidRPr="00763253">
              <w:rPr>
                <w:rFonts w:asciiTheme="minorHAnsi" w:hAnsiTheme="minorHAnsi"/>
                <w:i/>
                <w:color w:val="1F497D" w:themeColor="text2"/>
                <w:sz w:val="22"/>
                <w:szCs w:val="22"/>
              </w:rPr>
              <w:t>Blayney</w:t>
            </w:r>
          </w:p>
        </w:tc>
        <w:tc>
          <w:tcPr>
            <w:tcW w:w="2268" w:type="dxa"/>
          </w:tcPr>
          <w:p w:rsidR="00763253" w:rsidRPr="00763253" w:rsidRDefault="00763253" w:rsidP="00763253">
            <w:pPr>
              <w:rPr>
                <w:rFonts w:asciiTheme="minorHAnsi" w:hAnsiTheme="minorHAnsi"/>
                <w:i/>
                <w:color w:val="1F497D" w:themeColor="text2"/>
                <w:sz w:val="22"/>
                <w:szCs w:val="22"/>
              </w:rPr>
            </w:pPr>
            <w:r w:rsidRPr="00763253">
              <w:rPr>
                <w:rFonts w:asciiTheme="minorHAnsi" w:hAnsiTheme="minorHAnsi"/>
                <w:i/>
                <w:color w:val="1F497D" w:themeColor="text2"/>
                <w:sz w:val="22"/>
                <w:szCs w:val="22"/>
              </w:rPr>
              <w:t>Blayney Shire Community Centre with NSW Farmers</w:t>
            </w:r>
          </w:p>
        </w:tc>
        <w:tc>
          <w:tcPr>
            <w:tcW w:w="1701" w:type="dxa"/>
          </w:tcPr>
          <w:p w:rsidR="00763253" w:rsidRPr="00763253" w:rsidRDefault="00763253" w:rsidP="00763253">
            <w:pPr>
              <w:jc w:val="center"/>
              <w:rPr>
                <w:rFonts w:asciiTheme="minorHAnsi" w:hAnsiTheme="minorHAnsi"/>
                <w:i/>
                <w:color w:val="1F497D" w:themeColor="text2"/>
                <w:sz w:val="22"/>
                <w:szCs w:val="22"/>
              </w:rPr>
            </w:pPr>
            <w:r w:rsidRPr="00763253">
              <w:rPr>
                <w:rFonts w:asciiTheme="minorHAnsi" w:hAnsiTheme="minorHAnsi"/>
                <w:i/>
                <w:color w:val="1F497D" w:themeColor="text2"/>
                <w:sz w:val="22"/>
                <w:szCs w:val="22"/>
              </w:rPr>
              <w:t>90</w:t>
            </w:r>
          </w:p>
        </w:tc>
      </w:tr>
    </w:tbl>
    <w:p w:rsidR="00912BA5" w:rsidRDefault="00912BA5" w:rsidP="00DA4585">
      <w:pPr>
        <w:pStyle w:val="Default"/>
        <w:rPr>
          <w:rFonts w:asciiTheme="minorHAnsi" w:hAnsiTheme="minorHAnsi"/>
          <w:color w:val="1F497D" w:themeColor="text2"/>
          <w:sz w:val="22"/>
          <w:szCs w:val="22"/>
        </w:rPr>
      </w:pPr>
    </w:p>
    <w:p w:rsidR="00DF6DA6" w:rsidRPr="00DF6DA6" w:rsidRDefault="00DF6DA6" w:rsidP="00DF6DA6">
      <w:pPr>
        <w:pStyle w:val="Default"/>
        <w:rPr>
          <w:rFonts w:asciiTheme="minorHAnsi" w:hAnsiTheme="minorHAnsi"/>
          <w:color w:val="1F497D" w:themeColor="text2"/>
          <w:sz w:val="22"/>
          <w:szCs w:val="22"/>
        </w:rPr>
      </w:pPr>
      <w:r w:rsidRPr="001A6711">
        <w:rPr>
          <w:rFonts w:asciiTheme="minorHAnsi" w:hAnsiTheme="minorHAnsi"/>
          <w:bCs/>
          <w:color w:val="1F497D" w:themeColor="text2"/>
          <w:sz w:val="22"/>
          <w:szCs w:val="22"/>
        </w:rPr>
        <w:t>COUNCIL EXHIBITION</w:t>
      </w:r>
      <w:r w:rsidRPr="00DF6DA6">
        <w:rPr>
          <w:rFonts w:asciiTheme="minorHAnsi" w:hAnsiTheme="minorHAnsi"/>
          <w:bCs/>
          <w:color w:val="1F497D" w:themeColor="text2"/>
          <w:sz w:val="22"/>
          <w:szCs w:val="22"/>
        </w:rPr>
        <w:t xml:space="preserve"> OF DRAFT DOCUMENTS AND ASSESSMENT OF SUBMISSIONS </w:t>
      </w:r>
    </w:p>
    <w:p w:rsidR="00DF6DA6" w:rsidRPr="00DF6DA6" w:rsidRDefault="00DF6DA6" w:rsidP="00DF6DA6">
      <w:pPr>
        <w:pStyle w:val="Default"/>
        <w:rPr>
          <w:rFonts w:asciiTheme="minorHAnsi" w:hAnsiTheme="minorHAnsi"/>
          <w:color w:val="1F497D" w:themeColor="text2"/>
          <w:sz w:val="22"/>
          <w:szCs w:val="22"/>
        </w:rPr>
      </w:pPr>
      <w:r w:rsidRPr="00DF6DA6">
        <w:rPr>
          <w:rFonts w:asciiTheme="minorHAnsi" w:hAnsiTheme="minorHAnsi"/>
          <w:color w:val="1F497D" w:themeColor="text2"/>
          <w:sz w:val="22"/>
          <w:szCs w:val="22"/>
        </w:rPr>
        <w:t xml:space="preserve">Council placed the draft Delivery Plan, Operational Plan and amended Long Term Financial Plan on public exhibition at its meeting on </w:t>
      </w:r>
      <w:r w:rsidR="006012A4">
        <w:rPr>
          <w:rFonts w:asciiTheme="minorHAnsi" w:hAnsiTheme="minorHAnsi"/>
          <w:color w:val="1F497D" w:themeColor="text2"/>
          <w:sz w:val="22"/>
          <w:szCs w:val="22"/>
        </w:rPr>
        <w:t>9 December 2013 with a closing date of 5 February 2014.</w:t>
      </w:r>
      <w:r w:rsidRPr="00DF6DA6">
        <w:rPr>
          <w:rFonts w:asciiTheme="minorHAnsi" w:hAnsiTheme="minorHAnsi"/>
          <w:color w:val="1F497D" w:themeColor="text2"/>
          <w:sz w:val="22"/>
          <w:szCs w:val="22"/>
        </w:rPr>
        <w:t xml:space="preserve"> </w:t>
      </w:r>
      <w:r w:rsidR="00912BA5">
        <w:rPr>
          <w:rFonts w:asciiTheme="minorHAnsi" w:hAnsiTheme="minorHAnsi"/>
          <w:color w:val="1F497D" w:themeColor="text2"/>
          <w:sz w:val="22"/>
          <w:szCs w:val="22"/>
        </w:rPr>
        <w:t>This was promoted on Council’s website, Facebook / Twitter</w:t>
      </w:r>
      <w:r w:rsidR="00D16469">
        <w:rPr>
          <w:rFonts w:asciiTheme="minorHAnsi" w:hAnsiTheme="minorHAnsi"/>
          <w:color w:val="1F497D" w:themeColor="text2"/>
          <w:sz w:val="22"/>
          <w:szCs w:val="22"/>
        </w:rPr>
        <w:t xml:space="preserve"> pages and local media. It was also exhibited at</w:t>
      </w:r>
      <w:r w:rsidR="00912BA5">
        <w:rPr>
          <w:rFonts w:asciiTheme="minorHAnsi" w:hAnsiTheme="minorHAnsi"/>
          <w:color w:val="1F497D" w:themeColor="text2"/>
          <w:sz w:val="22"/>
          <w:szCs w:val="22"/>
        </w:rPr>
        <w:t xml:space="preserve"> Council’s office</w:t>
      </w:r>
      <w:r w:rsidR="009907FA">
        <w:rPr>
          <w:rFonts w:asciiTheme="minorHAnsi" w:hAnsiTheme="minorHAnsi"/>
          <w:color w:val="1F497D" w:themeColor="text2"/>
          <w:sz w:val="22"/>
          <w:szCs w:val="22"/>
        </w:rPr>
        <w:t xml:space="preserve">, </w:t>
      </w:r>
      <w:r w:rsidR="00D16469">
        <w:rPr>
          <w:rFonts w:asciiTheme="minorHAnsi" w:hAnsiTheme="minorHAnsi"/>
          <w:color w:val="1F497D" w:themeColor="text2"/>
          <w:sz w:val="22"/>
          <w:szCs w:val="22"/>
        </w:rPr>
        <w:t>Blayney Library</w:t>
      </w:r>
      <w:r w:rsidR="009907FA">
        <w:rPr>
          <w:rFonts w:asciiTheme="minorHAnsi" w:hAnsiTheme="minorHAnsi"/>
          <w:color w:val="1F497D" w:themeColor="text2"/>
          <w:sz w:val="22"/>
          <w:szCs w:val="22"/>
        </w:rPr>
        <w:t xml:space="preserve"> and postal agencies in the rural villages</w:t>
      </w:r>
      <w:r w:rsidR="00D16469">
        <w:rPr>
          <w:rFonts w:asciiTheme="minorHAnsi" w:hAnsiTheme="minorHAnsi"/>
          <w:color w:val="1F497D" w:themeColor="text2"/>
          <w:sz w:val="22"/>
          <w:szCs w:val="22"/>
        </w:rPr>
        <w:t>.</w:t>
      </w:r>
    </w:p>
    <w:p w:rsidR="00DF6DA6" w:rsidRPr="00DF6DA6" w:rsidRDefault="00DF6DA6" w:rsidP="00DF6DA6">
      <w:pPr>
        <w:rPr>
          <w:rFonts w:asciiTheme="minorHAnsi" w:hAnsiTheme="minorHAnsi"/>
          <w:color w:val="1F497D" w:themeColor="text2"/>
          <w:sz w:val="22"/>
          <w:szCs w:val="22"/>
        </w:rPr>
      </w:pPr>
    </w:p>
    <w:p w:rsidR="00DF6DA6" w:rsidRPr="00DF6DA6" w:rsidRDefault="00EF4C5D" w:rsidP="00DF6DA6">
      <w:pPr>
        <w:rPr>
          <w:rFonts w:asciiTheme="minorHAnsi" w:hAnsiTheme="minorHAnsi"/>
          <w:color w:val="1F497D" w:themeColor="text2"/>
          <w:sz w:val="22"/>
          <w:szCs w:val="22"/>
        </w:rPr>
      </w:pPr>
      <w:r>
        <w:rPr>
          <w:rFonts w:asciiTheme="minorHAnsi" w:hAnsiTheme="minorHAnsi"/>
          <w:color w:val="1F497D" w:themeColor="text2"/>
          <w:sz w:val="22"/>
          <w:szCs w:val="22"/>
        </w:rPr>
        <w:t>Submissions on the Integrated Planning and</w:t>
      </w:r>
      <w:r w:rsidRPr="00DF6DA6">
        <w:rPr>
          <w:rFonts w:asciiTheme="minorHAnsi" w:hAnsiTheme="minorHAnsi"/>
          <w:color w:val="1F497D" w:themeColor="text2"/>
          <w:sz w:val="22"/>
          <w:szCs w:val="22"/>
        </w:rPr>
        <w:t xml:space="preserve"> </w:t>
      </w:r>
      <w:r>
        <w:rPr>
          <w:rFonts w:asciiTheme="minorHAnsi" w:hAnsiTheme="minorHAnsi"/>
          <w:color w:val="1F497D" w:themeColor="text2"/>
          <w:sz w:val="22"/>
          <w:szCs w:val="22"/>
        </w:rPr>
        <w:t xml:space="preserve">Reporting documentation </w:t>
      </w:r>
      <w:r w:rsidR="00DF6DA6" w:rsidRPr="00DF6DA6">
        <w:rPr>
          <w:rFonts w:asciiTheme="minorHAnsi" w:hAnsiTheme="minorHAnsi"/>
          <w:color w:val="1F497D" w:themeColor="text2"/>
          <w:sz w:val="22"/>
          <w:szCs w:val="22"/>
        </w:rPr>
        <w:t xml:space="preserve">were considered by Councillors at the Council meeting on </w:t>
      </w:r>
      <w:r w:rsidR="00DF6DA6">
        <w:rPr>
          <w:rFonts w:asciiTheme="minorHAnsi" w:hAnsiTheme="minorHAnsi"/>
          <w:color w:val="1F497D" w:themeColor="text2"/>
          <w:sz w:val="22"/>
          <w:szCs w:val="22"/>
        </w:rPr>
        <w:t xml:space="preserve">10 February </w:t>
      </w:r>
      <w:r w:rsidR="00DF6DA6" w:rsidRPr="00DF6DA6">
        <w:rPr>
          <w:rFonts w:asciiTheme="minorHAnsi" w:hAnsiTheme="minorHAnsi"/>
          <w:color w:val="1F497D" w:themeColor="text2"/>
          <w:sz w:val="22"/>
          <w:szCs w:val="22"/>
        </w:rPr>
        <w:t>201</w:t>
      </w:r>
      <w:r w:rsidR="00DF6DA6">
        <w:rPr>
          <w:rFonts w:asciiTheme="minorHAnsi" w:hAnsiTheme="minorHAnsi"/>
          <w:color w:val="1F497D" w:themeColor="text2"/>
          <w:sz w:val="22"/>
          <w:szCs w:val="22"/>
        </w:rPr>
        <w:t>4</w:t>
      </w:r>
      <w:r w:rsidR="00DF6DA6" w:rsidRPr="00DF6DA6">
        <w:rPr>
          <w:rFonts w:asciiTheme="minorHAnsi" w:hAnsiTheme="minorHAnsi"/>
          <w:color w:val="1F497D" w:themeColor="text2"/>
          <w:sz w:val="22"/>
          <w:szCs w:val="22"/>
        </w:rPr>
        <w:t>.</w:t>
      </w:r>
    </w:p>
    <w:p w:rsidR="002859FE" w:rsidRDefault="00940502" w:rsidP="002859FE">
      <w:pPr>
        <w:pStyle w:val="Heading2"/>
      </w:pPr>
      <w:bookmarkStart w:id="24" w:name="_Toc380956893"/>
      <w:r>
        <w:t>Alternatives to the special v</w:t>
      </w:r>
      <w:r w:rsidR="002859FE">
        <w:t>ariation</w:t>
      </w:r>
      <w:bookmarkEnd w:id="24"/>
    </w:p>
    <w:p w:rsidR="002859FE" w:rsidRDefault="002859FE" w:rsidP="002859FE">
      <w:pPr>
        <w:pStyle w:val="BodyText"/>
      </w:pPr>
      <w:r w:rsidRPr="000403F0">
        <w:t xml:space="preserve">Indicate the range of alternatives </w:t>
      </w:r>
      <w:r w:rsidR="00921425" w:rsidRPr="000403F0">
        <w:t xml:space="preserve">to the requested special variation that the council </w:t>
      </w:r>
      <w:r w:rsidRPr="000403F0">
        <w:t xml:space="preserve">considered and </w:t>
      </w:r>
      <w:r w:rsidR="00921425" w:rsidRPr="000403F0">
        <w:t xml:space="preserve">how </w:t>
      </w:r>
      <w:r w:rsidRPr="000403F0">
        <w:t xml:space="preserve">you engaged your community </w:t>
      </w:r>
      <w:r w:rsidR="00921425" w:rsidRPr="000403F0">
        <w:t xml:space="preserve">about </w:t>
      </w:r>
      <w:r w:rsidRPr="000403F0">
        <w:t>the</w:t>
      </w:r>
      <w:r w:rsidR="00921425" w:rsidRPr="000403F0">
        <w:t xml:space="preserve"> various options.</w:t>
      </w:r>
    </w:p>
    <w:p w:rsidR="00EF4C5D" w:rsidRDefault="00EF4C5D" w:rsidP="000506D7">
      <w:pPr>
        <w:rPr>
          <w:rFonts w:asciiTheme="minorHAnsi" w:hAnsiTheme="minorHAnsi"/>
          <w:b/>
          <w:color w:val="1F497D" w:themeColor="text2"/>
          <w:sz w:val="22"/>
          <w:szCs w:val="22"/>
        </w:rPr>
      </w:pPr>
    </w:p>
    <w:p w:rsidR="000506D7" w:rsidRPr="008D7C80" w:rsidRDefault="000506D7" w:rsidP="000506D7">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770B81" w:rsidRDefault="00367CA2" w:rsidP="000506D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The range of alternatives considered by Council included</w:t>
      </w:r>
      <w:r w:rsidR="0022426E">
        <w:rPr>
          <w:rFonts w:asciiTheme="minorHAnsi" w:hAnsiTheme="minorHAnsi"/>
          <w:color w:val="1F497D" w:themeColor="text2"/>
          <w:sz w:val="22"/>
          <w:szCs w:val="22"/>
        </w:rPr>
        <w:t>:</w:t>
      </w:r>
      <w:r>
        <w:rPr>
          <w:rFonts w:asciiTheme="minorHAnsi" w:hAnsiTheme="minorHAnsi"/>
          <w:color w:val="1F497D" w:themeColor="text2"/>
          <w:sz w:val="22"/>
          <w:szCs w:val="22"/>
        </w:rPr>
        <w:t xml:space="preserve"> </w:t>
      </w:r>
    </w:p>
    <w:p w:rsidR="00770B81" w:rsidRDefault="00367CA2" w:rsidP="00770B81">
      <w:pPr>
        <w:pStyle w:val="BodyText"/>
        <w:numPr>
          <w:ilvl w:val="0"/>
          <w:numId w:val="48"/>
        </w:numPr>
        <w:spacing w:before="0"/>
        <w:rPr>
          <w:rFonts w:asciiTheme="minorHAnsi" w:hAnsiTheme="minorHAnsi"/>
          <w:color w:val="1F497D" w:themeColor="text2"/>
          <w:sz w:val="22"/>
          <w:szCs w:val="22"/>
        </w:rPr>
      </w:pPr>
      <w:r>
        <w:rPr>
          <w:rFonts w:asciiTheme="minorHAnsi" w:hAnsiTheme="minorHAnsi"/>
          <w:color w:val="1F497D" w:themeColor="text2"/>
          <w:sz w:val="22"/>
          <w:szCs w:val="22"/>
        </w:rPr>
        <w:t>reduction of services</w:t>
      </w:r>
      <w:r w:rsidR="0022426E">
        <w:rPr>
          <w:rFonts w:asciiTheme="minorHAnsi" w:hAnsiTheme="minorHAnsi"/>
          <w:color w:val="1F497D" w:themeColor="text2"/>
          <w:sz w:val="22"/>
          <w:szCs w:val="22"/>
        </w:rPr>
        <w:t>;</w:t>
      </w:r>
    </w:p>
    <w:p w:rsidR="00367CA2" w:rsidRPr="00770B81" w:rsidRDefault="00367CA2" w:rsidP="000506D7">
      <w:pPr>
        <w:pStyle w:val="BodyText"/>
        <w:numPr>
          <w:ilvl w:val="0"/>
          <w:numId w:val="48"/>
        </w:numPr>
        <w:spacing w:before="0"/>
        <w:rPr>
          <w:rFonts w:asciiTheme="minorHAnsi" w:hAnsiTheme="minorHAnsi"/>
          <w:color w:val="1F497D" w:themeColor="text2"/>
          <w:sz w:val="22"/>
          <w:szCs w:val="22"/>
        </w:rPr>
      </w:pPr>
      <w:r w:rsidRPr="00770B81">
        <w:rPr>
          <w:rFonts w:asciiTheme="minorHAnsi" w:hAnsiTheme="minorHAnsi"/>
          <w:color w:val="1F497D" w:themeColor="text2"/>
          <w:sz w:val="22"/>
          <w:szCs w:val="22"/>
        </w:rPr>
        <w:t>review of asset management</w:t>
      </w:r>
      <w:r w:rsidR="00DA036C" w:rsidRPr="00770B81">
        <w:rPr>
          <w:rFonts w:asciiTheme="minorHAnsi" w:hAnsiTheme="minorHAnsi"/>
          <w:color w:val="1F497D" w:themeColor="text2"/>
          <w:sz w:val="22"/>
          <w:szCs w:val="22"/>
        </w:rPr>
        <w:t xml:space="preserve">; </w:t>
      </w:r>
      <w:r w:rsidRPr="00770B81">
        <w:rPr>
          <w:rFonts w:asciiTheme="minorHAnsi" w:hAnsiTheme="minorHAnsi"/>
          <w:color w:val="1F497D" w:themeColor="text2"/>
          <w:sz w:val="22"/>
          <w:szCs w:val="22"/>
        </w:rPr>
        <w:t xml:space="preserve">  </w:t>
      </w:r>
    </w:p>
    <w:p w:rsidR="00770B81" w:rsidRPr="008D7C80" w:rsidRDefault="00770B81" w:rsidP="00770B81">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hAnsiTheme="minorHAnsi"/>
          <w:color w:val="1F497D" w:themeColor="text2"/>
          <w:sz w:val="22"/>
          <w:szCs w:val="22"/>
        </w:rPr>
        <w:t>staff structures, establishm</w:t>
      </w:r>
      <w:r w:rsidR="0022426E">
        <w:rPr>
          <w:rFonts w:asciiTheme="minorHAnsi" w:hAnsiTheme="minorHAnsi"/>
          <w:color w:val="1F497D" w:themeColor="text2"/>
          <w:sz w:val="22"/>
          <w:szCs w:val="22"/>
        </w:rPr>
        <w:t>ent levels and delivery methods;</w:t>
      </w:r>
    </w:p>
    <w:p w:rsidR="00770B81" w:rsidRPr="008D7C80" w:rsidRDefault="0022426E" w:rsidP="00770B81">
      <w:pPr>
        <w:pStyle w:val="ListParagraph"/>
        <w:numPr>
          <w:ilvl w:val="0"/>
          <w:numId w:val="33"/>
        </w:numPr>
        <w:autoSpaceDE w:val="0"/>
        <w:autoSpaceDN w:val="0"/>
        <w:adjustRightInd w:val="0"/>
        <w:rPr>
          <w:rFonts w:asciiTheme="minorHAnsi" w:hAnsiTheme="minorHAnsi"/>
          <w:color w:val="1F497D" w:themeColor="text2"/>
          <w:sz w:val="22"/>
          <w:szCs w:val="22"/>
        </w:rPr>
      </w:pPr>
      <w:r>
        <w:rPr>
          <w:rFonts w:asciiTheme="minorHAnsi" w:hAnsiTheme="minorHAnsi"/>
          <w:color w:val="1F497D" w:themeColor="text2"/>
          <w:sz w:val="22"/>
          <w:szCs w:val="22"/>
        </w:rPr>
        <w:t>reviews of fees for services;</w:t>
      </w:r>
    </w:p>
    <w:p w:rsidR="00770B81" w:rsidRPr="008D7C80" w:rsidRDefault="0022426E" w:rsidP="00770B81">
      <w:pPr>
        <w:pStyle w:val="ListParagraph"/>
        <w:numPr>
          <w:ilvl w:val="0"/>
          <w:numId w:val="33"/>
        </w:numPr>
        <w:autoSpaceDE w:val="0"/>
        <w:autoSpaceDN w:val="0"/>
        <w:adjustRightInd w:val="0"/>
        <w:rPr>
          <w:rFonts w:asciiTheme="minorHAnsi" w:hAnsiTheme="minorHAnsi"/>
          <w:color w:val="1F497D" w:themeColor="text2"/>
          <w:sz w:val="22"/>
          <w:szCs w:val="22"/>
        </w:rPr>
      </w:pPr>
      <w:proofErr w:type="gramStart"/>
      <w:r>
        <w:rPr>
          <w:rFonts w:asciiTheme="minorHAnsi" w:eastAsia="SymbolMT" w:hAnsiTheme="minorHAnsi"/>
          <w:color w:val="1F497D" w:themeColor="text2"/>
          <w:sz w:val="22"/>
          <w:szCs w:val="22"/>
        </w:rPr>
        <w:t>asset</w:t>
      </w:r>
      <w:proofErr w:type="gramEnd"/>
      <w:r>
        <w:rPr>
          <w:rFonts w:asciiTheme="minorHAnsi" w:eastAsia="SymbolMT" w:hAnsiTheme="minorHAnsi"/>
          <w:color w:val="1F497D" w:themeColor="text2"/>
          <w:sz w:val="22"/>
          <w:szCs w:val="22"/>
        </w:rPr>
        <w:t xml:space="preserve"> rationalisation.</w:t>
      </w:r>
    </w:p>
    <w:p w:rsidR="00367CA2" w:rsidRDefault="00367CA2" w:rsidP="000506D7">
      <w:pPr>
        <w:pStyle w:val="BodyText"/>
        <w:spacing w:before="0"/>
        <w:rPr>
          <w:rFonts w:asciiTheme="minorHAnsi" w:hAnsiTheme="minorHAnsi"/>
          <w:color w:val="1F497D" w:themeColor="text2"/>
          <w:sz w:val="22"/>
          <w:szCs w:val="22"/>
        </w:rPr>
      </w:pPr>
    </w:p>
    <w:p w:rsidR="00DE3F2A" w:rsidRDefault="00DE3F2A" w:rsidP="000506D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Through the survey Council assessed the community feedback on the importance and satisfaction levels of services.</w:t>
      </w:r>
    </w:p>
    <w:p w:rsidR="00DE3F2A" w:rsidRDefault="00DE3F2A" w:rsidP="000506D7">
      <w:pPr>
        <w:pStyle w:val="BodyText"/>
        <w:spacing w:before="0"/>
        <w:rPr>
          <w:rFonts w:asciiTheme="minorHAnsi" w:hAnsiTheme="minorHAnsi"/>
          <w:color w:val="1F497D" w:themeColor="text2"/>
          <w:sz w:val="22"/>
          <w:szCs w:val="22"/>
        </w:rPr>
      </w:pPr>
    </w:p>
    <w:p w:rsidR="00DE3F2A" w:rsidRDefault="00DE3F2A" w:rsidP="000506D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Options were also discussed at community meetings articulating that the Reduced Services Model would result in Council reducing its services and effecting expenditure reduction programs in the medium to long term.</w:t>
      </w:r>
    </w:p>
    <w:p w:rsidR="00DF31B7" w:rsidRPr="002C54BE" w:rsidRDefault="0057731C" w:rsidP="002C54BE">
      <w:pPr>
        <w:pStyle w:val="Heading2"/>
      </w:pPr>
      <w:bookmarkStart w:id="25" w:name="_Toc380956894"/>
      <w:r>
        <w:t>Feedback</w:t>
      </w:r>
      <w:r w:rsidR="00DF31B7" w:rsidRPr="002C54BE">
        <w:t xml:space="preserve"> from </w:t>
      </w:r>
      <w:r>
        <w:t xml:space="preserve">the </w:t>
      </w:r>
      <w:r w:rsidR="00DF31B7" w:rsidRPr="002C54BE">
        <w:t>community consultations</w:t>
      </w:r>
      <w:bookmarkEnd w:id="25"/>
    </w:p>
    <w:p w:rsidR="00646350" w:rsidRDefault="00C95E68" w:rsidP="002C54BE">
      <w:pPr>
        <w:pStyle w:val="BodyText"/>
      </w:pPr>
      <w:r w:rsidRPr="00C95E68">
        <w:t>S</w:t>
      </w:r>
      <w:r w:rsidR="00835605">
        <w:t>ummarise</w:t>
      </w:r>
      <w:r w:rsidR="002C54BE">
        <w:t xml:space="preserve"> the outcomes </w:t>
      </w:r>
      <w:r w:rsidR="0057731C">
        <w:t xml:space="preserve">of, and feedback </w:t>
      </w:r>
      <w:r w:rsidR="002C54BE">
        <w:t>from</w:t>
      </w:r>
      <w:r w:rsidR="0057731C">
        <w:t>,</w:t>
      </w:r>
      <w:r w:rsidR="002C54BE">
        <w:t xml:space="preserve"> </w:t>
      </w:r>
      <w:r>
        <w:t xml:space="preserve">your </w:t>
      </w:r>
      <w:r w:rsidR="002C54BE">
        <w:t xml:space="preserve">community </w:t>
      </w:r>
      <w:r w:rsidR="00CA070F">
        <w:t>engagement activities</w:t>
      </w:r>
      <w:r w:rsidR="0057731C">
        <w:t>.</w:t>
      </w:r>
      <w:r w:rsidR="00226279">
        <w:t xml:space="preserve"> Such outcomes could</w:t>
      </w:r>
      <w:r>
        <w:t xml:space="preserve"> include the</w:t>
      </w:r>
      <w:r w:rsidR="002C54BE">
        <w:t xml:space="preserve"> number of attendees at e</w:t>
      </w:r>
      <w:r w:rsidR="002C54BE" w:rsidRPr="00FD6E96">
        <w:t>vents</w:t>
      </w:r>
      <w:r w:rsidR="00226279" w:rsidRPr="00FD6E96">
        <w:t xml:space="preserve"> and participants in online forums, as well as evidence of media </w:t>
      </w:r>
      <w:r w:rsidR="009B2A36" w:rsidRPr="00FD6E96">
        <w:t xml:space="preserve">reports and other indicators of </w:t>
      </w:r>
      <w:r w:rsidR="00226279" w:rsidRPr="00FD6E96">
        <w:t xml:space="preserve">public awareness of the council’s intentions.  Where applicable, provide evidence of responses to surveys, </w:t>
      </w:r>
      <w:r w:rsidR="00D65F17" w:rsidRPr="00FD6E96">
        <w:t xml:space="preserve">particularly </w:t>
      </w:r>
      <w:r w:rsidR="00226279" w:rsidRPr="00FD6E96">
        <w:t xml:space="preserve">the level of </w:t>
      </w:r>
      <w:r w:rsidR="002C54BE" w:rsidRPr="00FD6E96">
        <w:t>support</w:t>
      </w:r>
      <w:r w:rsidR="00F4204B" w:rsidRPr="00FD6E96">
        <w:t xml:space="preserve"> for </w:t>
      </w:r>
      <w:r w:rsidR="00226279" w:rsidRPr="00FD6E96">
        <w:t xml:space="preserve">specific programs or projects, </w:t>
      </w:r>
      <w:r w:rsidR="00921425" w:rsidRPr="00FD6E96">
        <w:t xml:space="preserve">levels and </w:t>
      </w:r>
      <w:r w:rsidR="00226279" w:rsidRPr="00FD6E96">
        <w:t xml:space="preserve">types of </w:t>
      </w:r>
      <w:r w:rsidR="00F4204B" w:rsidRPr="00FD6E96">
        <w:t>services</w:t>
      </w:r>
      <w:r w:rsidR="00D65F17" w:rsidRPr="00FD6E96">
        <w:t>, investment in assets</w:t>
      </w:r>
      <w:r w:rsidR="00226279" w:rsidRPr="00FD6E96">
        <w:t xml:space="preserve">, </w:t>
      </w:r>
      <w:r w:rsidR="00D65F17" w:rsidRPr="00FD6E96">
        <w:t xml:space="preserve">as well as the options proposed for funding them by </w:t>
      </w:r>
      <w:r w:rsidR="00F4204B" w:rsidRPr="00FD6E96">
        <w:t>rate increases</w:t>
      </w:r>
      <w:r w:rsidR="002C54BE" w:rsidRPr="00FD6E96">
        <w:t>.</w:t>
      </w:r>
      <w:r w:rsidR="000403F0">
        <w:t xml:space="preserve"> </w:t>
      </w:r>
    </w:p>
    <w:p w:rsidR="00165F97" w:rsidRDefault="00D65F17" w:rsidP="008D7C80">
      <w:pPr>
        <w:pStyle w:val="BodyText"/>
        <w:spacing w:before="0"/>
      </w:pPr>
      <w:r w:rsidRPr="00385582">
        <w:t xml:space="preserve">Where the council has received submissions from the community </w:t>
      </w:r>
      <w:r w:rsidR="0012081E" w:rsidRPr="00385582">
        <w:t xml:space="preserve">relevant to </w:t>
      </w:r>
      <w:r w:rsidRPr="00385582">
        <w:t xml:space="preserve">the special </w:t>
      </w:r>
      <w:r w:rsidR="0012081E" w:rsidRPr="00385582">
        <w:t>variation</w:t>
      </w:r>
      <w:r w:rsidRPr="00385582">
        <w:t xml:space="preserve"> during the engagement process, the application s</w:t>
      </w:r>
      <w:r w:rsidR="00C95E68" w:rsidRPr="00385582">
        <w:t xml:space="preserve">hould </w:t>
      </w:r>
      <w:r w:rsidRPr="00385582">
        <w:t xml:space="preserve">set out the views </w:t>
      </w:r>
      <w:r w:rsidR="0012081E" w:rsidRPr="00385582">
        <w:t xml:space="preserve">expressed in </w:t>
      </w:r>
      <w:r w:rsidRPr="00385582">
        <w:t>those submiss</w:t>
      </w:r>
      <w:r w:rsidR="0012081E" w:rsidRPr="00385582">
        <w:t>i</w:t>
      </w:r>
      <w:r w:rsidRPr="00385582">
        <w:t>ons</w:t>
      </w:r>
      <w:r w:rsidR="0057731C" w:rsidRPr="00385582">
        <w:t>.</w:t>
      </w:r>
      <w:r w:rsidR="002C54BE" w:rsidRPr="00385582">
        <w:t xml:space="preserve">  I</w:t>
      </w:r>
      <w:r w:rsidR="000403F0" w:rsidRPr="00385582">
        <w:t>t should also i</w:t>
      </w:r>
      <w:r w:rsidR="002C54BE" w:rsidRPr="00385582">
        <w:t xml:space="preserve">dentify </w:t>
      </w:r>
      <w:r w:rsidR="00C95E68" w:rsidRPr="00385582">
        <w:t xml:space="preserve">and document </w:t>
      </w:r>
      <w:r w:rsidR="002C54BE" w:rsidRPr="00385582">
        <w:t xml:space="preserve">any action </w:t>
      </w:r>
      <w:r w:rsidR="0012081E" w:rsidRPr="00385582">
        <w:t xml:space="preserve">the council has taken, or will take, </w:t>
      </w:r>
      <w:r w:rsidR="00C95E68" w:rsidRPr="00385582">
        <w:t>to</w:t>
      </w:r>
      <w:r w:rsidR="002C54BE" w:rsidRPr="00385582">
        <w:t xml:space="preserve"> address issues of common concern.</w:t>
      </w:r>
      <w:r w:rsidR="002C54BE">
        <w:t xml:space="preserve"> </w:t>
      </w:r>
      <w:r w:rsidR="00536DDB">
        <w:t xml:space="preserve"> </w:t>
      </w:r>
    </w:p>
    <w:p w:rsidR="00EF4C5D" w:rsidRDefault="00EF4C5D" w:rsidP="008D7C80">
      <w:pPr>
        <w:rPr>
          <w:rFonts w:asciiTheme="minorHAnsi" w:hAnsiTheme="minorHAnsi"/>
          <w:b/>
          <w:color w:val="1F497D" w:themeColor="text2"/>
          <w:sz w:val="22"/>
          <w:szCs w:val="22"/>
        </w:rPr>
      </w:pPr>
    </w:p>
    <w:p w:rsidR="008D7C80" w:rsidRPr="008D7C80" w:rsidRDefault="008D7C80" w:rsidP="008D7C80">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690C20" w:rsidRDefault="00BE21CC" w:rsidP="008D7C80">
      <w:pPr>
        <w:pStyle w:val="BodyText"/>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There was</w:t>
      </w:r>
      <w:r w:rsidR="000F35C2">
        <w:rPr>
          <w:rFonts w:asciiTheme="minorHAnsi" w:eastAsia="Calibri" w:hAnsiTheme="minorHAnsi" w:cs="Arial"/>
          <w:color w:val="1F497D" w:themeColor="text2"/>
          <w:sz w:val="22"/>
          <w:szCs w:val="22"/>
        </w:rPr>
        <w:t xml:space="preserve"> a vast array of feedback particularly with media reports and Facebook commentary.</w:t>
      </w:r>
      <w:r w:rsidR="00827610">
        <w:rPr>
          <w:rFonts w:asciiTheme="minorHAnsi" w:eastAsia="Calibri" w:hAnsiTheme="minorHAnsi" w:cs="Arial"/>
          <w:color w:val="1F497D" w:themeColor="text2"/>
          <w:sz w:val="22"/>
          <w:szCs w:val="22"/>
        </w:rPr>
        <w:t xml:space="preserve"> </w:t>
      </w:r>
    </w:p>
    <w:p w:rsidR="00690C20" w:rsidRDefault="00690C20" w:rsidP="008D7C80">
      <w:pPr>
        <w:pStyle w:val="BodyText"/>
        <w:spacing w:before="0"/>
        <w:rPr>
          <w:rFonts w:asciiTheme="minorHAnsi" w:eastAsia="Calibri" w:hAnsiTheme="minorHAnsi" w:cs="Arial"/>
          <w:color w:val="1F497D" w:themeColor="text2"/>
          <w:sz w:val="22"/>
          <w:szCs w:val="22"/>
        </w:rPr>
      </w:pPr>
    </w:p>
    <w:p w:rsidR="00BE21CC" w:rsidRDefault="00690C20" w:rsidP="008D7C80">
      <w:pPr>
        <w:pStyle w:val="BodyText"/>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 xml:space="preserve">The community meetings in the villages were positive and provided support of Council’s approach to future funding of services and retention of a local government authority with local representation. As the consultation was based on the three proposed scenarios encompassing increases of 3%; 10% or 15% - the major concern was affordability. </w:t>
      </w:r>
    </w:p>
    <w:p w:rsidR="00BE21CC" w:rsidRDefault="00BE21CC" w:rsidP="00BE21CC">
      <w:pPr>
        <w:pStyle w:val="BodyText"/>
        <w:spacing w:before="0"/>
        <w:rPr>
          <w:rFonts w:asciiTheme="minorHAnsi" w:hAnsiTheme="minorHAnsi"/>
          <w:color w:val="1F497D" w:themeColor="text2"/>
          <w:sz w:val="22"/>
          <w:szCs w:val="22"/>
        </w:rPr>
      </w:pPr>
    </w:p>
    <w:p w:rsidR="00827610" w:rsidRDefault="00827610" w:rsidP="00827610">
      <w:pPr>
        <w:pStyle w:val="BodyText"/>
        <w:spacing w:before="0"/>
        <w:rPr>
          <w:rFonts w:asciiTheme="minorHAnsi" w:eastAsia="Calibri" w:hAnsiTheme="minorHAnsi" w:cs="Arial"/>
          <w:color w:val="1F497D" w:themeColor="text2"/>
          <w:sz w:val="22"/>
          <w:szCs w:val="22"/>
        </w:rPr>
      </w:pPr>
      <w:r w:rsidRPr="00BE21CC">
        <w:rPr>
          <w:rFonts w:asciiTheme="minorHAnsi" w:eastAsia="Calibri" w:hAnsiTheme="minorHAnsi" w:cs="Arial"/>
          <w:color w:val="1F497D" w:themeColor="text2"/>
          <w:sz w:val="22"/>
          <w:szCs w:val="22"/>
        </w:rPr>
        <w:t xml:space="preserve">Council considered the discussion held at the community meetings and the advice from the survey taken at a </w:t>
      </w:r>
      <w:r>
        <w:rPr>
          <w:rFonts w:asciiTheme="minorHAnsi" w:eastAsia="Calibri" w:hAnsiTheme="minorHAnsi" w:cs="Arial"/>
          <w:color w:val="1F497D" w:themeColor="text2"/>
          <w:sz w:val="22"/>
          <w:szCs w:val="22"/>
        </w:rPr>
        <w:t xml:space="preserve">Councillor </w:t>
      </w:r>
      <w:r w:rsidRPr="00BE21CC">
        <w:rPr>
          <w:rFonts w:asciiTheme="minorHAnsi" w:eastAsia="Calibri" w:hAnsiTheme="minorHAnsi" w:cs="Arial"/>
          <w:color w:val="1F497D" w:themeColor="text2"/>
          <w:sz w:val="22"/>
          <w:szCs w:val="22"/>
        </w:rPr>
        <w:t>workshop on Monday 4</w:t>
      </w:r>
      <w:r w:rsidRPr="00BE21CC">
        <w:rPr>
          <w:rFonts w:asciiTheme="minorHAnsi" w:eastAsia="Calibri" w:hAnsiTheme="minorHAnsi" w:cs="Arial"/>
          <w:color w:val="1F497D" w:themeColor="text2"/>
          <w:sz w:val="22"/>
          <w:szCs w:val="22"/>
          <w:vertAlign w:val="superscript"/>
        </w:rPr>
        <w:t>th</w:t>
      </w:r>
      <w:r w:rsidRPr="00BE21CC">
        <w:rPr>
          <w:rFonts w:asciiTheme="minorHAnsi" w:eastAsia="Calibri" w:hAnsiTheme="minorHAnsi" w:cs="Arial"/>
          <w:color w:val="1F497D" w:themeColor="text2"/>
          <w:sz w:val="22"/>
          <w:szCs w:val="22"/>
        </w:rPr>
        <w:t xml:space="preserve"> November</w:t>
      </w:r>
      <w:r>
        <w:rPr>
          <w:rFonts w:asciiTheme="minorHAnsi" w:eastAsia="Calibri" w:hAnsiTheme="minorHAnsi" w:cs="Arial"/>
          <w:color w:val="1F497D" w:themeColor="text2"/>
          <w:sz w:val="22"/>
          <w:szCs w:val="22"/>
        </w:rPr>
        <w:t xml:space="preserve"> 2013</w:t>
      </w:r>
      <w:r w:rsidRPr="00BE21CC">
        <w:rPr>
          <w:rFonts w:asciiTheme="minorHAnsi" w:eastAsia="Calibri" w:hAnsiTheme="minorHAnsi" w:cs="Arial"/>
          <w:color w:val="1F497D" w:themeColor="text2"/>
          <w:sz w:val="22"/>
          <w:szCs w:val="22"/>
        </w:rPr>
        <w:t xml:space="preserve">. This workshop was to consider the level of special rate variation and the report submitted by Western Research Institute as to the affordability of the rates for all people living in Blayney Shire. This </w:t>
      </w:r>
      <w:r>
        <w:rPr>
          <w:rFonts w:asciiTheme="minorHAnsi" w:eastAsia="Calibri" w:hAnsiTheme="minorHAnsi" w:cs="Arial"/>
          <w:color w:val="1F497D" w:themeColor="text2"/>
          <w:sz w:val="22"/>
          <w:szCs w:val="22"/>
        </w:rPr>
        <w:t>was</w:t>
      </w:r>
      <w:r w:rsidRPr="00BE21CC">
        <w:rPr>
          <w:rFonts w:asciiTheme="minorHAnsi" w:eastAsia="Calibri" w:hAnsiTheme="minorHAnsi" w:cs="Arial"/>
          <w:color w:val="1F497D" w:themeColor="text2"/>
          <w:sz w:val="22"/>
          <w:szCs w:val="22"/>
        </w:rPr>
        <w:t xml:space="preserve"> further compared to the survey results from the community as to what they want to see for the shire and how they believe the current situation exists.</w:t>
      </w:r>
    </w:p>
    <w:p w:rsidR="000F35C2" w:rsidRDefault="000F35C2" w:rsidP="00BE21CC">
      <w:pPr>
        <w:pStyle w:val="BodyText"/>
        <w:spacing w:before="0"/>
        <w:rPr>
          <w:rFonts w:asciiTheme="minorHAnsi" w:hAnsiTheme="minorHAnsi"/>
          <w:color w:val="1F497D" w:themeColor="text2"/>
          <w:sz w:val="22"/>
          <w:szCs w:val="22"/>
        </w:rPr>
      </w:pPr>
    </w:p>
    <w:p w:rsidR="00690C20" w:rsidRDefault="00690C20" w:rsidP="00BE21CC">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The overwhelming concerns from the meetings conducted were as follows:</w:t>
      </w:r>
    </w:p>
    <w:p w:rsidR="00690C20" w:rsidRDefault="00690C20" w:rsidP="00BE21CC">
      <w:pPr>
        <w:pStyle w:val="BodyText"/>
        <w:spacing w:before="0"/>
        <w:rPr>
          <w:rFonts w:asciiTheme="minorHAnsi" w:hAnsiTheme="minorHAnsi"/>
          <w:color w:val="1F497D" w:themeColor="text2"/>
          <w:sz w:val="22"/>
          <w:szCs w:val="22"/>
        </w:rPr>
      </w:pPr>
    </w:p>
    <w:p w:rsidR="00BE21CC" w:rsidRPr="00BE21CC" w:rsidRDefault="00827610" w:rsidP="00BE21CC">
      <w:pPr>
        <w:pStyle w:val="BodyText"/>
        <w:spacing w:before="0"/>
        <w:rPr>
          <w:rFonts w:asciiTheme="minorHAnsi" w:hAnsiTheme="minorHAnsi"/>
          <w:color w:val="1F497D" w:themeColor="text2"/>
          <w:sz w:val="22"/>
          <w:szCs w:val="22"/>
        </w:rPr>
      </w:pPr>
      <w:proofErr w:type="gramStart"/>
      <w:r w:rsidRPr="00827610">
        <w:rPr>
          <w:rFonts w:asciiTheme="minorHAnsi" w:hAnsiTheme="minorHAnsi"/>
          <w:color w:val="1F497D" w:themeColor="text2"/>
          <w:sz w:val="22"/>
          <w:szCs w:val="22"/>
          <w:u w:val="single"/>
        </w:rPr>
        <w:t>Issue 1:</w:t>
      </w:r>
      <w:r>
        <w:rPr>
          <w:rFonts w:asciiTheme="minorHAnsi" w:hAnsiTheme="minorHAnsi"/>
          <w:color w:val="1F497D" w:themeColor="text2"/>
          <w:sz w:val="22"/>
          <w:szCs w:val="22"/>
        </w:rPr>
        <w:t xml:space="preserve"> </w:t>
      </w:r>
      <w:r w:rsidR="00690C20">
        <w:rPr>
          <w:rFonts w:asciiTheme="minorHAnsi" w:hAnsiTheme="minorHAnsi"/>
          <w:color w:val="1F497D" w:themeColor="text2"/>
          <w:sz w:val="22"/>
          <w:szCs w:val="22"/>
        </w:rPr>
        <w:t>T</w:t>
      </w:r>
      <w:r w:rsidR="00BE21CC">
        <w:rPr>
          <w:rFonts w:asciiTheme="minorHAnsi" w:hAnsiTheme="minorHAnsi"/>
          <w:color w:val="1F497D" w:themeColor="text2"/>
          <w:sz w:val="22"/>
          <w:szCs w:val="22"/>
        </w:rPr>
        <w:t>he impact of the any rate</w:t>
      </w:r>
      <w:r>
        <w:rPr>
          <w:rFonts w:asciiTheme="minorHAnsi" w:hAnsiTheme="minorHAnsi"/>
          <w:color w:val="1F497D" w:themeColor="text2"/>
          <w:sz w:val="22"/>
          <w:szCs w:val="22"/>
        </w:rPr>
        <w:t xml:space="preserve"> rise</w:t>
      </w:r>
      <w:r w:rsidR="00BE21CC">
        <w:rPr>
          <w:rFonts w:asciiTheme="minorHAnsi" w:hAnsiTheme="minorHAnsi"/>
          <w:color w:val="1F497D" w:themeColor="text2"/>
          <w:sz w:val="22"/>
          <w:szCs w:val="22"/>
        </w:rPr>
        <w:t>, particularly the proposed 15%</w:t>
      </w:r>
      <w:r>
        <w:rPr>
          <w:rFonts w:asciiTheme="minorHAnsi" w:hAnsiTheme="minorHAnsi"/>
          <w:color w:val="1F497D" w:themeColor="text2"/>
          <w:sz w:val="22"/>
          <w:szCs w:val="22"/>
        </w:rPr>
        <w:t>p.a. over 6 years</w:t>
      </w:r>
      <w:r w:rsidR="00BE21CC">
        <w:rPr>
          <w:rFonts w:asciiTheme="minorHAnsi" w:hAnsiTheme="minorHAnsi"/>
          <w:color w:val="1F497D" w:themeColor="text2"/>
          <w:sz w:val="22"/>
          <w:szCs w:val="22"/>
        </w:rPr>
        <w:t>, on farmland rate</w:t>
      </w:r>
      <w:r>
        <w:rPr>
          <w:rFonts w:asciiTheme="minorHAnsi" w:hAnsiTheme="minorHAnsi"/>
          <w:color w:val="1F497D" w:themeColor="text2"/>
          <w:sz w:val="22"/>
          <w:szCs w:val="22"/>
        </w:rPr>
        <w:t>s</w:t>
      </w:r>
      <w:r w:rsidR="00BE21CC">
        <w:rPr>
          <w:rFonts w:asciiTheme="minorHAnsi" w:hAnsiTheme="minorHAnsi"/>
          <w:color w:val="1F497D" w:themeColor="text2"/>
          <w:sz w:val="22"/>
          <w:szCs w:val="22"/>
        </w:rPr>
        <w:t>.</w:t>
      </w:r>
      <w:proofErr w:type="gramEnd"/>
    </w:p>
    <w:p w:rsidR="00BE21CC" w:rsidRDefault="00BE21CC" w:rsidP="008D7C80">
      <w:pPr>
        <w:pStyle w:val="BodyText"/>
        <w:spacing w:before="0"/>
        <w:rPr>
          <w:rFonts w:asciiTheme="minorHAnsi" w:eastAsia="Calibri" w:hAnsiTheme="minorHAnsi" w:cs="Arial"/>
          <w:color w:val="1F497D" w:themeColor="text2"/>
          <w:sz w:val="22"/>
          <w:szCs w:val="22"/>
        </w:rPr>
      </w:pPr>
    </w:p>
    <w:p w:rsidR="00BE21CC" w:rsidRDefault="00827610" w:rsidP="008D7C80">
      <w:pPr>
        <w:pStyle w:val="BodyText"/>
        <w:spacing w:before="0"/>
        <w:rPr>
          <w:rFonts w:asciiTheme="minorHAnsi" w:eastAsia="Calibri" w:hAnsiTheme="minorHAnsi" w:cs="Arial"/>
          <w:color w:val="1F497D" w:themeColor="text2"/>
          <w:sz w:val="22"/>
          <w:szCs w:val="22"/>
        </w:rPr>
      </w:pPr>
      <w:r w:rsidRPr="00827610">
        <w:rPr>
          <w:rFonts w:asciiTheme="minorHAnsi" w:eastAsia="Calibri" w:hAnsiTheme="minorHAnsi" w:cs="Arial"/>
          <w:color w:val="1F497D" w:themeColor="text2"/>
          <w:sz w:val="22"/>
          <w:szCs w:val="22"/>
          <w:u w:val="single"/>
        </w:rPr>
        <w:t>Response:</w:t>
      </w:r>
      <w:r>
        <w:rPr>
          <w:rFonts w:asciiTheme="minorHAnsi" w:eastAsia="Calibri" w:hAnsiTheme="minorHAnsi" w:cs="Arial"/>
          <w:color w:val="1F497D" w:themeColor="text2"/>
          <w:sz w:val="22"/>
          <w:szCs w:val="22"/>
        </w:rPr>
        <w:t xml:space="preserve"> Council reconsidered its intention in this regard and resolved to proceed with a special variation of 6%p.a. over two years and incorporated a number of other strategies as a way forward. (Refer 8.3 of this application for details of Council resolution</w:t>
      </w:r>
      <w:r w:rsidR="00780314">
        <w:rPr>
          <w:rFonts w:asciiTheme="minorHAnsi" w:eastAsia="Calibri" w:hAnsiTheme="minorHAnsi" w:cs="Arial"/>
          <w:color w:val="1F497D" w:themeColor="text2"/>
          <w:sz w:val="22"/>
          <w:szCs w:val="22"/>
        </w:rPr>
        <w:t>.</w:t>
      </w:r>
      <w:r>
        <w:rPr>
          <w:rFonts w:asciiTheme="minorHAnsi" w:eastAsia="Calibri" w:hAnsiTheme="minorHAnsi" w:cs="Arial"/>
          <w:color w:val="1F497D" w:themeColor="text2"/>
          <w:sz w:val="22"/>
          <w:szCs w:val="22"/>
        </w:rPr>
        <w:t>)</w:t>
      </w:r>
      <w:r w:rsidR="00780314">
        <w:rPr>
          <w:rFonts w:asciiTheme="minorHAnsi" w:eastAsia="Calibri" w:hAnsiTheme="minorHAnsi" w:cs="Arial"/>
          <w:color w:val="1F497D" w:themeColor="text2"/>
          <w:sz w:val="22"/>
          <w:szCs w:val="22"/>
        </w:rPr>
        <w:t xml:space="preserve"> Councils’ consideration included the impact of drought, commodity pricing and future income potential for this sector.</w:t>
      </w:r>
    </w:p>
    <w:p w:rsidR="00780314" w:rsidRDefault="00780314" w:rsidP="008D7C80">
      <w:pPr>
        <w:pStyle w:val="BodyText"/>
        <w:spacing w:before="0"/>
        <w:rPr>
          <w:rFonts w:asciiTheme="minorHAnsi" w:eastAsia="Calibri" w:hAnsiTheme="minorHAnsi" w:cs="Arial"/>
          <w:color w:val="1F497D" w:themeColor="text2"/>
          <w:sz w:val="22"/>
          <w:szCs w:val="22"/>
        </w:rPr>
      </w:pPr>
    </w:p>
    <w:p w:rsidR="00780314" w:rsidRDefault="00B73509" w:rsidP="008D7C80">
      <w:pPr>
        <w:pStyle w:val="BodyText"/>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The r</w:t>
      </w:r>
      <w:r w:rsidR="00780314">
        <w:rPr>
          <w:rFonts w:asciiTheme="minorHAnsi" w:eastAsia="Calibri" w:hAnsiTheme="minorHAnsi" w:cs="Arial"/>
          <w:color w:val="1F497D" w:themeColor="text2"/>
          <w:sz w:val="22"/>
          <w:szCs w:val="22"/>
        </w:rPr>
        <w:t xml:space="preserve">eview undertaken by Western Research Institute </w:t>
      </w:r>
      <w:r>
        <w:rPr>
          <w:rFonts w:asciiTheme="minorHAnsi" w:eastAsia="Calibri" w:hAnsiTheme="minorHAnsi" w:cs="Arial"/>
          <w:color w:val="1F497D" w:themeColor="text2"/>
          <w:sz w:val="22"/>
          <w:szCs w:val="22"/>
        </w:rPr>
        <w:t>into</w:t>
      </w:r>
      <w:r w:rsidR="00780314">
        <w:rPr>
          <w:rFonts w:asciiTheme="minorHAnsi" w:eastAsia="Calibri" w:hAnsiTheme="minorHAnsi" w:cs="Arial"/>
          <w:color w:val="1F497D" w:themeColor="text2"/>
          <w:sz w:val="22"/>
          <w:szCs w:val="22"/>
        </w:rPr>
        <w:t xml:space="preserve"> the </w:t>
      </w:r>
      <w:r>
        <w:rPr>
          <w:rFonts w:asciiTheme="minorHAnsi" w:eastAsia="Calibri" w:hAnsiTheme="minorHAnsi" w:cs="Arial"/>
          <w:color w:val="1F497D" w:themeColor="text2"/>
          <w:sz w:val="22"/>
          <w:szCs w:val="22"/>
        </w:rPr>
        <w:t>long term impacts on the</w:t>
      </w:r>
      <w:r w:rsidR="00780314">
        <w:rPr>
          <w:rFonts w:asciiTheme="minorHAnsi" w:eastAsia="Calibri" w:hAnsiTheme="minorHAnsi" w:cs="Arial"/>
          <w:color w:val="1F497D" w:themeColor="text2"/>
          <w:sz w:val="22"/>
          <w:szCs w:val="22"/>
        </w:rPr>
        <w:t xml:space="preserve"> community </w:t>
      </w:r>
      <w:r>
        <w:rPr>
          <w:rFonts w:asciiTheme="minorHAnsi" w:eastAsia="Calibri" w:hAnsiTheme="minorHAnsi" w:cs="Arial"/>
          <w:color w:val="1F497D" w:themeColor="text2"/>
          <w:sz w:val="22"/>
          <w:szCs w:val="22"/>
        </w:rPr>
        <w:t xml:space="preserve">provided advice </w:t>
      </w:r>
      <w:r w:rsidR="00780314">
        <w:rPr>
          <w:rFonts w:asciiTheme="minorHAnsi" w:eastAsia="Calibri" w:hAnsiTheme="minorHAnsi" w:cs="Arial"/>
          <w:color w:val="1F497D" w:themeColor="text2"/>
          <w:sz w:val="22"/>
          <w:szCs w:val="22"/>
        </w:rPr>
        <w:t xml:space="preserve">that </w:t>
      </w:r>
      <w:r w:rsidR="006B35BA">
        <w:rPr>
          <w:rFonts w:asciiTheme="minorHAnsi" w:eastAsia="Calibri" w:hAnsiTheme="minorHAnsi" w:cs="Arial"/>
          <w:color w:val="1F497D" w:themeColor="text2"/>
          <w:sz w:val="22"/>
          <w:szCs w:val="22"/>
        </w:rPr>
        <w:t xml:space="preserve">this </w:t>
      </w:r>
      <w:r w:rsidR="00780314">
        <w:rPr>
          <w:rFonts w:asciiTheme="minorHAnsi" w:eastAsia="Calibri" w:hAnsiTheme="minorHAnsi" w:cs="Arial"/>
          <w:color w:val="1F497D" w:themeColor="text2"/>
          <w:sz w:val="22"/>
          <w:szCs w:val="22"/>
        </w:rPr>
        <w:t xml:space="preserve">group </w:t>
      </w:r>
      <w:r>
        <w:rPr>
          <w:rFonts w:asciiTheme="minorHAnsi" w:eastAsia="Calibri" w:hAnsiTheme="minorHAnsi" w:cs="Arial"/>
          <w:color w:val="1F497D" w:themeColor="text2"/>
          <w:sz w:val="22"/>
          <w:szCs w:val="22"/>
        </w:rPr>
        <w:t xml:space="preserve">could afford proposed increases but the impact would be tough. It relied on commodity prices rising and no climatic setbacks. </w:t>
      </w:r>
      <w:r w:rsidRPr="00B73509">
        <w:rPr>
          <w:rFonts w:asciiTheme="minorHAnsi" w:eastAsia="Calibri" w:hAnsiTheme="minorHAnsi" w:cs="Arial"/>
          <w:i/>
          <w:color w:val="1F497D" w:themeColor="text2"/>
          <w:sz w:val="22"/>
          <w:szCs w:val="22"/>
        </w:rPr>
        <w:t>(Note</w:t>
      </w:r>
      <w:r>
        <w:rPr>
          <w:rFonts w:asciiTheme="minorHAnsi" w:eastAsia="Calibri" w:hAnsiTheme="minorHAnsi" w:cs="Arial"/>
          <w:i/>
          <w:color w:val="1F497D" w:themeColor="text2"/>
          <w:sz w:val="22"/>
          <w:szCs w:val="22"/>
        </w:rPr>
        <w:t>: T</w:t>
      </w:r>
      <w:r w:rsidRPr="00B73509">
        <w:rPr>
          <w:rFonts w:asciiTheme="minorHAnsi" w:eastAsia="Calibri" w:hAnsiTheme="minorHAnsi" w:cs="Arial"/>
          <w:i/>
          <w:color w:val="1F497D" w:themeColor="text2"/>
          <w:sz w:val="22"/>
          <w:szCs w:val="22"/>
        </w:rPr>
        <w:t>he review by Western Research Institute was based on a permanent increase of 15%p.a. over 6 years.)</w:t>
      </w:r>
    </w:p>
    <w:p w:rsidR="00827610" w:rsidRDefault="00827610" w:rsidP="008D7C80">
      <w:pPr>
        <w:pStyle w:val="BodyText"/>
        <w:spacing w:before="0"/>
        <w:rPr>
          <w:rFonts w:asciiTheme="minorHAnsi" w:eastAsia="Calibri" w:hAnsiTheme="minorHAnsi" w:cs="Arial"/>
          <w:color w:val="1F497D" w:themeColor="text2"/>
          <w:sz w:val="22"/>
          <w:szCs w:val="22"/>
        </w:rPr>
      </w:pPr>
    </w:p>
    <w:p w:rsidR="00827610" w:rsidRDefault="00827610" w:rsidP="008D7C80">
      <w:pPr>
        <w:pStyle w:val="BodyText"/>
        <w:spacing w:before="0"/>
        <w:rPr>
          <w:rFonts w:asciiTheme="minorHAnsi" w:eastAsia="Calibri" w:hAnsiTheme="minorHAnsi" w:cs="Arial"/>
          <w:color w:val="1F497D" w:themeColor="text2"/>
          <w:sz w:val="22"/>
          <w:szCs w:val="22"/>
        </w:rPr>
      </w:pPr>
      <w:proofErr w:type="gramStart"/>
      <w:r w:rsidRPr="00827610">
        <w:rPr>
          <w:rFonts w:asciiTheme="minorHAnsi" w:eastAsia="Calibri" w:hAnsiTheme="minorHAnsi" w:cs="Arial"/>
          <w:color w:val="1F497D" w:themeColor="text2"/>
          <w:sz w:val="22"/>
          <w:szCs w:val="22"/>
          <w:u w:val="single"/>
        </w:rPr>
        <w:t>Issue 2:</w:t>
      </w:r>
      <w:r>
        <w:rPr>
          <w:rFonts w:asciiTheme="minorHAnsi" w:eastAsia="Calibri" w:hAnsiTheme="minorHAnsi" w:cs="Arial"/>
          <w:color w:val="1F497D" w:themeColor="text2"/>
          <w:sz w:val="22"/>
          <w:szCs w:val="22"/>
        </w:rPr>
        <w:t xml:space="preserve"> Affordability and capacity to pay, particularly by people on fixed incomes and pensions.</w:t>
      </w:r>
      <w:proofErr w:type="gramEnd"/>
    </w:p>
    <w:p w:rsidR="00827610" w:rsidRDefault="00827610" w:rsidP="008D7C80">
      <w:pPr>
        <w:pStyle w:val="BodyText"/>
        <w:spacing w:before="0"/>
        <w:rPr>
          <w:rFonts w:asciiTheme="minorHAnsi" w:eastAsia="Calibri" w:hAnsiTheme="minorHAnsi" w:cs="Arial"/>
          <w:color w:val="1F497D" w:themeColor="text2"/>
          <w:sz w:val="22"/>
          <w:szCs w:val="22"/>
        </w:rPr>
      </w:pPr>
    </w:p>
    <w:p w:rsidR="006B35BA" w:rsidRDefault="00827610" w:rsidP="008D7C80">
      <w:pPr>
        <w:pStyle w:val="BodyText"/>
        <w:spacing w:before="0"/>
        <w:rPr>
          <w:rFonts w:asciiTheme="minorHAnsi" w:eastAsia="Calibri" w:hAnsiTheme="minorHAnsi" w:cs="Arial"/>
          <w:color w:val="1F497D" w:themeColor="text2"/>
          <w:sz w:val="22"/>
          <w:szCs w:val="22"/>
        </w:rPr>
      </w:pPr>
      <w:r w:rsidRPr="00827610">
        <w:rPr>
          <w:rFonts w:asciiTheme="minorHAnsi" w:eastAsia="Calibri" w:hAnsiTheme="minorHAnsi" w:cs="Arial"/>
          <w:color w:val="1F497D" w:themeColor="text2"/>
          <w:sz w:val="22"/>
          <w:szCs w:val="22"/>
          <w:u w:val="single"/>
        </w:rPr>
        <w:t>Response</w:t>
      </w:r>
      <w:r>
        <w:rPr>
          <w:rFonts w:asciiTheme="minorHAnsi" w:eastAsia="Calibri" w:hAnsiTheme="minorHAnsi" w:cs="Arial"/>
          <w:color w:val="1F497D" w:themeColor="text2"/>
          <w:sz w:val="22"/>
          <w:szCs w:val="22"/>
        </w:rPr>
        <w:t xml:space="preserve">: </w:t>
      </w:r>
      <w:r w:rsidR="00690C20">
        <w:rPr>
          <w:rFonts w:asciiTheme="minorHAnsi" w:eastAsia="Calibri" w:hAnsiTheme="minorHAnsi" w:cs="Arial"/>
          <w:color w:val="1F497D" w:themeColor="text2"/>
          <w:sz w:val="22"/>
          <w:szCs w:val="22"/>
        </w:rPr>
        <w:t xml:space="preserve">Council is aware of the </w:t>
      </w:r>
      <w:r w:rsidR="00E90641">
        <w:rPr>
          <w:rFonts w:asciiTheme="minorHAnsi" w:eastAsia="Calibri" w:hAnsiTheme="minorHAnsi" w:cs="Arial"/>
          <w:color w:val="1F497D" w:themeColor="text2"/>
          <w:sz w:val="22"/>
          <w:szCs w:val="22"/>
        </w:rPr>
        <w:t xml:space="preserve">impact of any increases to the community and has attempted to refine its </w:t>
      </w:r>
      <w:r w:rsidR="00CA00FE">
        <w:rPr>
          <w:rFonts w:asciiTheme="minorHAnsi" w:eastAsia="Calibri" w:hAnsiTheme="minorHAnsi" w:cs="Arial"/>
          <w:color w:val="1F497D" w:themeColor="text2"/>
          <w:sz w:val="22"/>
          <w:szCs w:val="22"/>
        </w:rPr>
        <w:t xml:space="preserve">asset management plans and </w:t>
      </w:r>
      <w:r w:rsidR="00E90641">
        <w:rPr>
          <w:rFonts w:asciiTheme="minorHAnsi" w:eastAsia="Calibri" w:hAnsiTheme="minorHAnsi" w:cs="Arial"/>
          <w:color w:val="1F497D" w:themeColor="text2"/>
          <w:sz w:val="22"/>
          <w:szCs w:val="22"/>
        </w:rPr>
        <w:t xml:space="preserve">financial forecasts to </w:t>
      </w:r>
      <w:r w:rsidR="00B458A9">
        <w:rPr>
          <w:rFonts w:asciiTheme="minorHAnsi" w:eastAsia="Calibri" w:hAnsiTheme="minorHAnsi" w:cs="Arial"/>
          <w:color w:val="1F497D" w:themeColor="text2"/>
          <w:sz w:val="22"/>
          <w:szCs w:val="22"/>
        </w:rPr>
        <w:t xml:space="preserve">keep to a minimum any additional requirement to increase rates. </w:t>
      </w:r>
    </w:p>
    <w:p w:rsidR="006B35BA" w:rsidRDefault="006B35BA" w:rsidP="008D7C80">
      <w:pPr>
        <w:pStyle w:val="BodyText"/>
        <w:spacing w:before="0"/>
        <w:rPr>
          <w:rFonts w:asciiTheme="minorHAnsi" w:eastAsia="Calibri" w:hAnsiTheme="minorHAnsi" w:cs="Arial"/>
          <w:color w:val="1F497D" w:themeColor="text2"/>
          <w:sz w:val="22"/>
          <w:szCs w:val="22"/>
        </w:rPr>
      </w:pPr>
    </w:p>
    <w:p w:rsidR="006B35BA" w:rsidRDefault="006B35BA" w:rsidP="006B35BA">
      <w:pPr>
        <w:pStyle w:val="BodyText"/>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 xml:space="preserve">The review undertaken by Western Research Institute into the long term impacts on the community provided advice </w:t>
      </w:r>
      <w:r w:rsidR="00293409">
        <w:rPr>
          <w:rFonts w:asciiTheme="minorHAnsi" w:eastAsia="Calibri" w:hAnsiTheme="minorHAnsi" w:cs="Arial"/>
          <w:color w:val="1F497D" w:themeColor="text2"/>
          <w:sz w:val="22"/>
          <w:szCs w:val="22"/>
        </w:rPr>
        <w:t>that whilst the increase was affordable; recipients of government benefits would struggle.</w:t>
      </w:r>
      <w:r>
        <w:rPr>
          <w:rFonts w:asciiTheme="minorHAnsi" w:eastAsia="Calibri" w:hAnsiTheme="minorHAnsi" w:cs="Arial"/>
          <w:color w:val="1F497D" w:themeColor="text2"/>
          <w:sz w:val="22"/>
          <w:szCs w:val="22"/>
        </w:rPr>
        <w:t xml:space="preserve"> </w:t>
      </w:r>
      <w:r w:rsidR="00EE43AA">
        <w:rPr>
          <w:rFonts w:asciiTheme="minorHAnsi" w:eastAsia="Calibri" w:hAnsiTheme="minorHAnsi" w:cs="Arial"/>
          <w:color w:val="1F497D" w:themeColor="text2"/>
          <w:sz w:val="22"/>
          <w:szCs w:val="22"/>
        </w:rPr>
        <w:t>Refer section 4.4 for more informat</w:t>
      </w:r>
      <w:r w:rsidR="00CC0E54">
        <w:rPr>
          <w:rFonts w:asciiTheme="minorHAnsi" w:eastAsia="Calibri" w:hAnsiTheme="minorHAnsi" w:cs="Arial"/>
          <w:color w:val="1F497D" w:themeColor="text2"/>
          <w:sz w:val="22"/>
          <w:szCs w:val="22"/>
        </w:rPr>
        <w:t xml:space="preserve">ion. </w:t>
      </w:r>
      <w:r w:rsidRPr="00B73509">
        <w:rPr>
          <w:rFonts w:asciiTheme="minorHAnsi" w:eastAsia="Calibri" w:hAnsiTheme="minorHAnsi" w:cs="Arial"/>
          <w:i/>
          <w:color w:val="1F497D" w:themeColor="text2"/>
          <w:sz w:val="22"/>
          <w:szCs w:val="22"/>
        </w:rPr>
        <w:t>(Note</w:t>
      </w:r>
      <w:r>
        <w:rPr>
          <w:rFonts w:asciiTheme="minorHAnsi" w:eastAsia="Calibri" w:hAnsiTheme="minorHAnsi" w:cs="Arial"/>
          <w:i/>
          <w:color w:val="1F497D" w:themeColor="text2"/>
          <w:sz w:val="22"/>
          <w:szCs w:val="22"/>
        </w:rPr>
        <w:t>: T</w:t>
      </w:r>
      <w:r w:rsidRPr="00B73509">
        <w:rPr>
          <w:rFonts w:asciiTheme="minorHAnsi" w:eastAsia="Calibri" w:hAnsiTheme="minorHAnsi" w:cs="Arial"/>
          <w:i/>
          <w:color w:val="1F497D" w:themeColor="text2"/>
          <w:sz w:val="22"/>
          <w:szCs w:val="22"/>
        </w:rPr>
        <w:t>he review by Western Research Institute was based on a permanent increase of 15%p.a. over 6 years.)</w:t>
      </w:r>
    </w:p>
    <w:p w:rsidR="006B35BA" w:rsidRDefault="006B35BA" w:rsidP="008D7C80">
      <w:pPr>
        <w:pStyle w:val="BodyText"/>
        <w:spacing w:before="0"/>
        <w:rPr>
          <w:rFonts w:asciiTheme="minorHAnsi" w:eastAsia="Calibri" w:hAnsiTheme="minorHAnsi" w:cs="Arial"/>
          <w:color w:val="1F497D" w:themeColor="text2"/>
          <w:sz w:val="22"/>
          <w:szCs w:val="22"/>
        </w:rPr>
      </w:pPr>
    </w:p>
    <w:p w:rsidR="00827610" w:rsidRDefault="00CC0E54" w:rsidP="008D7C80">
      <w:pPr>
        <w:pStyle w:val="BodyText"/>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 xml:space="preserve">Council </w:t>
      </w:r>
      <w:r w:rsidR="00B458A9">
        <w:rPr>
          <w:rFonts w:asciiTheme="minorHAnsi" w:eastAsia="Calibri" w:hAnsiTheme="minorHAnsi" w:cs="Arial"/>
          <w:color w:val="1F497D" w:themeColor="text2"/>
          <w:sz w:val="22"/>
          <w:szCs w:val="22"/>
        </w:rPr>
        <w:t>has develop</w:t>
      </w:r>
      <w:r>
        <w:rPr>
          <w:rFonts w:asciiTheme="minorHAnsi" w:eastAsia="Calibri" w:hAnsiTheme="minorHAnsi" w:cs="Arial"/>
          <w:color w:val="1F497D" w:themeColor="text2"/>
          <w:sz w:val="22"/>
          <w:szCs w:val="22"/>
        </w:rPr>
        <w:t>ed</w:t>
      </w:r>
      <w:r w:rsidR="00B458A9">
        <w:rPr>
          <w:rFonts w:asciiTheme="minorHAnsi" w:eastAsia="Calibri" w:hAnsiTheme="minorHAnsi" w:cs="Arial"/>
          <w:color w:val="1F497D" w:themeColor="text2"/>
          <w:sz w:val="22"/>
          <w:szCs w:val="22"/>
        </w:rPr>
        <w:t xml:space="preserve"> a strategy towards financial sustainability for the Shire and attempted to balance this need with community affordability.</w:t>
      </w:r>
    </w:p>
    <w:p w:rsidR="00B458A9" w:rsidRDefault="00B458A9" w:rsidP="008D7C80">
      <w:pPr>
        <w:pStyle w:val="BodyText"/>
        <w:spacing w:before="0"/>
        <w:rPr>
          <w:rFonts w:asciiTheme="minorHAnsi" w:eastAsia="Calibri" w:hAnsiTheme="minorHAnsi" w:cs="Arial"/>
          <w:color w:val="1F497D" w:themeColor="text2"/>
          <w:sz w:val="22"/>
          <w:szCs w:val="22"/>
        </w:rPr>
      </w:pPr>
    </w:p>
    <w:p w:rsidR="00B458A9" w:rsidRDefault="00B458A9" w:rsidP="008D7C80">
      <w:pPr>
        <w:pStyle w:val="BodyText"/>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Council has also undertaken to review its Hardship policy with a view to ensuring it is responsive to ratepayers with extenuating circumstances.</w:t>
      </w:r>
      <w:r w:rsidR="00CC0E54">
        <w:rPr>
          <w:rFonts w:asciiTheme="minorHAnsi" w:eastAsia="Calibri" w:hAnsiTheme="minorHAnsi" w:cs="Arial"/>
          <w:color w:val="1F497D" w:themeColor="text2"/>
          <w:sz w:val="22"/>
          <w:szCs w:val="22"/>
        </w:rPr>
        <w:t xml:space="preserve"> At the Council meeting scheduled for 10 March 2014 a report is to be tabled proposing that the policy be amended to include the following clause:</w:t>
      </w:r>
    </w:p>
    <w:p w:rsidR="00CC0E54" w:rsidRDefault="00CC0E54" w:rsidP="008D7C80">
      <w:pPr>
        <w:pStyle w:val="BodyText"/>
        <w:spacing w:before="0"/>
        <w:rPr>
          <w:rFonts w:asciiTheme="minorHAnsi" w:eastAsia="Calibri" w:hAnsiTheme="minorHAnsi" w:cs="Arial"/>
          <w:color w:val="1F497D" w:themeColor="text2"/>
          <w:sz w:val="22"/>
          <w:szCs w:val="22"/>
        </w:rPr>
      </w:pPr>
    </w:p>
    <w:p w:rsidR="00CC0E54" w:rsidRPr="00CC0E54" w:rsidRDefault="00CC0E54" w:rsidP="00CC0E54">
      <w:pPr>
        <w:ind w:left="284"/>
        <w:rPr>
          <w:rFonts w:asciiTheme="minorHAnsi" w:hAnsiTheme="minorHAnsi"/>
          <w:i/>
          <w:iCs/>
          <w:color w:val="1F497D" w:themeColor="text2"/>
          <w:sz w:val="22"/>
          <w:szCs w:val="22"/>
        </w:rPr>
      </w:pPr>
      <w:r w:rsidRPr="00CC0E54">
        <w:rPr>
          <w:rFonts w:asciiTheme="minorHAnsi" w:hAnsiTheme="minorHAnsi"/>
          <w:i/>
          <w:iCs/>
          <w:color w:val="1F497D" w:themeColor="text2"/>
          <w:sz w:val="22"/>
          <w:szCs w:val="22"/>
        </w:rPr>
        <w:t xml:space="preserve">Any ratepayer who incurs a rate increase resulting from the implementation of a special rates variation can apply to Council for rate relief if the increase in the amount of rates payable would cause them substantial hardship. </w:t>
      </w:r>
    </w:p>
    <w:p w:rsidR="00CC0E54" w:rsidRDefault="00CC0E54" w:rsidP="008D7C80">
      <w:pPr>
        <w:pStyle w:val="BodyText"/>
        <w:spacing w:before="0"/>
        <w:rPr>
          <w:rFonts w:asciiTheme="minorHAnsi" w:eastAsia="Calibri" w:hAnsiTheme="minorHAnsi" w:cs="Arial"/>
          <w:color w:val="1F497D" w:themeColor="text2"/>
          <w:sz w:val="22"/>
          <w:szCs w:val="22"/>
        </w:rPr>
      </w:pPr>
    </w:p>
    <w:p w:rsidR="00C95308" w:rsidRDefault="00BE21CC" w:rsidP="008D7C80">
      <w:pPr>
        <w:pStyle w:val="BodyText"/>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 xml:space="preserve">Copies of community feedback </w:t>
      </w:r>
      <w:r w:rsidR="00C95308">
        <w:rPr>
          <w:rFonts w:asciiTheme="minorHAnsi" w:eastAsia="Calibri" w:hAnsiTheme="minorHAnsi" w:cs="Arial"/>
          <w:color w:val="1F497D" w:themeColor="text2"/>
          <w:sz w:val="22"/>
          <w:szCs w:val="22"/>
        </w:rPr>
        <w:t xml:space="preserve">are provided as attachments </w:t>
      </w:r>
      <w:r>
        <w:rPr>
          <w:rFonts w:asciiTheme="minorHAnsi" w:eastAsia="Calibri" w:hAnsiTheme="minorHAnsi" w:cs="Arial"/>
          <w:color w:val="1F497D" w:themeColor="text2"/>
          <w:sz w:val="22"/>
          <w:szCs w:val="22"/>
        </w:rPr>
        <w:t xml:space="preserve">by way of </w:t>
      </w:r>
      <w:r w:rsidR="00C95308">
        <w:rPr>
          <w:rFonts w:asciiTheme="minorHAnsi" w:eastAsia="Calibri" w:hAnsiTheme="minorHAnsi" w:cs="Arial"/>
          <w:color w:val="1F497D" w:themeColor="text2"/>
          <w:sz w:val="22"/>
          <w:szCs w:val="22"/>
        </w:rPr>
        <w:t>the following:</w:t>
      </w:r>
    </w:p>
    <w:p w:rsidR="00C95308" w:rsidRDefault="00C95308" w:rsidP="00C95308">
      <w:pPr>
        <w:pStyle w:val="BodyText"/>
        <w:numPr>
          <w:ilvl w:val="0"/>
          <w:numId w:val="50"/>
        </w:numPr>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S</w:t>
      </w:r>
      <w:r w:rsidR="00BE21CC">
        <w:rPr>
          <w:rFonts w:asciiTheme="minorHAnsi" w:eastAsia="Calibri" w:hAnsiTheme="minorHAnsi" w:cs="Arial"/>
          <w:color w:val="1F497D" w:themeColor="text2"/>
          <w:sz w:val="22"/>
          <w:szCs w:val="22"/>
        </w:rPr>
        <w:t>ubmissions</w:t>
      </w:r>
      <w:r>
        <w:rPr>
          <w:rFonts w:asciiTheme="minorHAnsi" w:eastAsia="Calibri" w:hAnsiTheme="minorHAnsi" w:cs="Arial"/>
          <w:color w:val="1F497D" w:themeColor="text2"/>
          <w:sz w:val="22"/>
          <w:szCs w:val="22"/>
        </w:rPr>
        <w:t xml:space="preserve"> on the exhibition of Council’s I&amp;R documentation;</w:t>
      </w:r>
    </w:p>
    <w:p w:rsidR="000F35C2" w:rsidRDefault="000F35C2" w:rsidP="00C95308">
      <w:pPr>
        <w:pStyle w:val="BodyText"/>
        <w:numPr>
          <w:ilvl w:val="0"/>
          <w:numId w:val="50"/>
        </w:numPr>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Media reports;</w:t>
      </w:r>
    </w:p>
    <w:p w:rsidR="00C95308" w:rsidRDefault="00BE21CC" w:rsidP="00C95308">
      <w:pPr>
        <w:pStyle w:val="BodyText"/>
        <w:numPr>
          <w:ilvl w:val="0"/>
          <w:numId w:val="50"/>
        </w:numPr>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Facebook comment</w:t>
      </w:r>
      <w:r w:rsidR="00C95308">
        <w:rPr>
          <w:rFonts w:asciiTheme="minorHAnsi" w:eastAsia="Calibri" w:hAnsiTheme="minorHAnsi" w:cs="Arial"/>
          <w:color w:val="1F497D" w:themeColor="text2"/>
          <w:sz w:val="22"/>
          <w:szCs w:val="22"/>
        </w:rPr>
        <w:t>ary on both Council’s Facebook site and Blayney Chronicle Facebook site;</w:t>
      </w:r>
    </w:p>
    <w:p w:rsidR="00C95308" w:rsidRDefault="00C95308" w:rsidP="00C95308">
      <w:pPr>
        <w:pStyle w:val="BodyText"/>
        <w:numPr>
          <w:ilvl w:val="0"/>
          <w:numId w:val="50"/>
        </w:numPr>
        <w:spacing w:before="0"/>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S</w:t>
      </w:r>
      <w:r w:rsidR="00BE21CC">
        <w:rPr>
          <w:rFonts w:asciiTheme="minorHAnsi" w:eastAsia="Calibri" w:hAnsiTheme="minorHAnsi" w:cs="Arial"/>
          <w:color w:val="1F497D" w:themeColor="text2"/>
          <w:sz w:val="22"/>
          <w:szCs w:val="22"/>
        </w:rPr>
        <w:t>urvey results</w:t>
      </w:r>
      <w:r w:rsidR="00BE21CC" w:rsidRPr="00C95308">
        <w:rPr>
          <w:rFonts w:asciiTheme="minorHAnsi" w:eastAsia="Calibri" w:hAnsiTheme="minorHAnsi" w:cs="Arial"/>
          <w:color w:val="1F497D" w:themeColor="text2"/>
          <w:sz w:val="22"/>
          <w:szCs w:val="22"/>
        </w:rPr>
        <w:t xml:space="preserve"> and feedback</w:t>
      </w:r>
      <w:r>
        <w:rPr>
          <w:rFonts w:asciiTheme="minorHAnsi" w:eastAsia="Calibri" w:hAnsiTheme="minorHAnsi" w:cs="Arial"/>
          <w:color w:val="1F497D" w:themeColor="text2"/>
          <w:sz w:val="22"/>
          <w:szCs w:val="22"/>
        </w:rPr>
        <w:t xml:space="preserve">; </w:t>
      </w:r>
    </w:p>
    <w:p w:rsidR="00BE21CC" w:rsidRPr="00C95308" w:rsidRDefault="00BE21CC" w:rsidP="00C95308">
      <w:pPr>
        <w:pStyle w:val="BodyText"/>
        <w:numPr>
          <w:ilvl w:val="0"/>
          <w:numId w:val="50"/>
        </w:numPr>
        <w:spacing w:before="0"/>
        <w:rPr>
          <w:rFonts w:asciiTheme="minorHAnsi" w:eastAsia="Calibri" w:hAnsiTheme="minorHAnsi" w:cs="Arial"/>
          <w:color w:val="1F497D" w:themeColor="text2"/>
          <w:sz w:val="22"/>
          <w:szCs w:val="22"/>
        </w:rPr>
      </w:pPr>
      <w:proofErr w:type="gramStart"/>
      <w:r w:rsidRPr="00C95308">
        <w:rPr>
          <w:rFonts w:asciiTheme="minorHAnsi" w:eastAsia="Calibri" w:hAnsiTheme="minorHAnsi" w:cs="Arial"/>
          <w:color w:val="1F497D" w:themeColor="text2"/>
          <w:sz w:val="22"/>
          <w:szCs w:val="22"/>
        </w:rPr>
        <w:t>letters</w:t>
      </w:r>
      <w:proofErr w:type="gramEnd"/>
      <w:r w:rsidRPr="00C95308">
        <w:rPr>
          <w:rFonts w:asciiTheme="minorHAnsi" w:eastAsia="Calibri" w:hAnsiTheme="minorHAnsi" w:cs="Arial"/>
          <w:color w:val="1F497D" w:themeColor="text2"/>
          <w:sz w:val="22"/>
          <w:szCs w:val="22"/>
        </w:rPr>
        <w:t xml:space="preserve"> to the editor</w:t>
      </w:r>
      <w:r w:rsidR="00C95308">
        <w:rPr>
          <w:rFonts w:asciiTheme="minorHAnsi" w:eastAsia="Calibri" w:hAnsiTheme="minorHAnsi" w:cs="Arial"/>
          <w:color w:val="1F497D" w:themeColor="text2"/>
          <w:sz w:val="22"/>
          <w:szCs w:val="22"/>
        </w:rPr>
        <w:t xml:space="preserve"> (Blayney Chronicle).</w:t>
      </w:r>
    </w:p>
    <w:p w:rsidR="002859FE" w:rsidRDefault="002859FE" w:rsidP="002859FE">
      <w:pPr>
        <w:pStyle w:val="Heading2"/>
      </w:pPr>
      <w:bookmarkStart w:id="26" w:name="_Toc380956895"/>
      <w:r>
        <w:t>Considering the impact on ratepayers</w:t>
      </w:r>
      <w:bookmarkEnd w:id="26"/>
    </w:p>
    <w:p w:rsidR="002859FE" w:rsidRDefault="002859FE" w:rsidP="002859FE">
      <w:pPr>
        <w:pStyle w:val="BodyText"/>
      </w:pPr>
      <w:r w:rsidRPr="00385582">
        <w:t xml:space="preserve">Indicate how </w:t>
      </w:r>
      <w:r w:rsidR="0012081E" w:rsidRPr="00385582">
        <w:t xml:space="preserve">the council </w:t>
      </w:r>
      <w:r w:rsidRPr="00385582">
        <w:t xml:space="preserve">assessed the impact of the special variation on </w:t>
      </w:r>
      <w:r w:rsidR="00C9118D" w:rsidRPr="00385582">
        <w:t>ratepayers</w:t>
      </w:r>
      <w:r w:rsidR="00F4645D" w:rsidRPr="00385582">
        <w:t xml:space="preserve">, </w:t>
      </w:r>
      <w:r w:rsidRPr="00385582">
        <w:t xml:space="preserve">and where this was </w:t>
      </w:r>
      <w:r w:rsidR="0012081E" w:rsidRPr="00385582">
        <w:t>addressed within</w:t>
      </w:r>
      <w:r w:rsidRPr="00385582">
        <w:t xml:space="preserve"> </w:t>
      </w:r>
      <w:r w:rsidR="0012081E" w:rsidRPr="00385582">
        <w:t xml:space="preserve">the </w:t>
      </w:r>
      <w:r w:rsidRPr="00385582">
        <w:t>community awareness and engagement process</w:t>
      </w:r>
      <w:r w:rsidR="0012081E" w:rsidRPr="00385582">
        <w:t>es</w:t>
      </w:r>
      <w:r w:rsidRPr="00385582">
        <w:t>.</w:t>
      </w:r>
      <w:r w:rsidR="0012081E" w:rsidRPr="00385582">
        <w:t xml:space="preserve">  </w:t>
      </w:r>
      <w:r w:rsidR="00834D7F" w:rsidRPr="00385582">
        <w:lastRenderedPageBreak/>
        <w:t>Where the impact will vary across different categories and/or sub-categories of ratepayers, the council should consider the circumstances of the various different groups.</w:t>
      </w:r>
      <w:r w:rsidR="00834D7F">
        <w:t xml:space="preserve">  </w:t>
      </w:r>
    </w:p>
    <w:p w:rsidR="00C97CE3" w:rsidRDefault="00C97CE3" w:rsidP="008D7C80">
      <w:pPr>
        <w:rPr>
          <w:rFonts w:asciiTheme="minorHAnsi" w:hAnsiTheme="minorHAnsi"/>
          <w:b/>
          <w:color w:val="1F497D" w:themeColor="text2"/>
          <w:sz w:val="22"/>
          <w:szCs w:val="22"/>
        </w:rPr>
      </w:pPr>
    </w:p>
    <w:p w:rsidR="008D7C80" w:rsidRPr="008D7C80" w:rsidRDefault="008D7C80" w:rsidP="008D7C80">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2B7F88" w:rsidRDefault="00AD4A23"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In the preliminary work undertaken by Council an assessment of the impact of the proposed special variations was sought from the Western Research Institute. This assessment was based on the </w:t>
      </w:r>
      <w:r w:rsidR="002B7F88">
        <w:rPr>
          <w:rFonts w:asciiTheme="minorHAnsi" w:hAnsiTheme="minorHAnsi"/>
          <w:color w:val="1F497D" w:themeColor="text2"/>
          <w:sz w:val="22"/>
          <w:szCs w:val="22"/>
        </w:rPr>
        <w:t xml:space="preserve">proposed </w:t>
      </w:r>
      <w:r>
        <w:rPr>
          <w:rFonts w:asciiTheme="minorHAnsi" w:hAnsiTheme="minorHAnsi"/>
          <w:color w:val="1F497D" w:themeColor="text2"/>
          <w:sz w:val="22"/>
          <w:szCs w:val="22"/>
        </w:rPr>
        <w:t>preliminary models as follows</w:t>
      </w:r>
      <w:r w:rsidR="002B7F88">
        <w:rPr>
          <w:rFonts w:asciiTheme="minorHAnsi" w:hAnsiTheme="minorHAnsi"/>
          <w:color w:val="1F497D" w:themeColor="text2"/>
          <w:sz w:val="22"/>
          <w:szCs w:val="22"/>
        </w:rPr>
        <w:t>:</w:t>
      </w:r>
    </w:p>
    <w:p w:rsidR="002B7F88" w:rsidRDefault="002B7F88" w:rsidP="008D7C80">
      <w:pPr>
        <w:pStyle w:val="BodyText"/>
        <w:spacing w:before="0"/>
        <w:rPr>
          <w:rFonts w:asciiTheme="minorHAnsi" w:hAnsiTheme="minorHAnsi"/>
          <w:color w:val="1F497D" w:themeColor="text2"/>
          <w:sz w:val="22"/>
          <w:szCs w:val="22"/>
        </w:rPr>
      </w:pPr>
    </w:p>
    <w:p w:rsidR="002B7F88" w:rsidRPr="008D7C80" w:rsidRDefault="002B7F88" w:rsidP="00316A5C">
      <w:pPr>
        <w:pStyle w:val="ListParagraph"/>
        <w:numPr>
          <w:ilvl w:val="0"/>
          <w:numId w:val="28"/>
        </w:numPr>
        <w:rPr>
          <w:rFonts w:asciiTheme="minorHAnsi" w:hAnsiTheme="minorHAnsi"/>
          <w:color w:val="1F497D" w:themeColor="text2"/>
          <w:sz w:val="22"/>
          <w:szCs w:val="22"/>
        </w:rPr>
      </w:pPr>
      <w:r w:rsidRPr="008D7C80">
        <w:rPr>
          <w:rFonts w:asciiTheme="minorHAnsi" w:hAnsiTheme="minorHAnsi"/>
          <w:b/>
          <w:color w:val="1F497D" w:themeColor="text2"/>
          <w:sz w:val="22"/>
          <w:szCs w:val="22"/>
        </w:rPr>
        <w:t>Option 1:</w:t>
      </w:r>
      <w:r w:rsidRPr="008D7C80">
        <w:rPr>
          <w:rFonts w:asciiTheme="minorHAnsi" w:hAnsiTheme="minorHAnsi"/>
          <w:color w:val="1F497D" w:themeColor="text2"/>
          <w:sz w:val="22"/>
          <w:szCs w:val="22"/>
        </w:rPr>
        <w:t xml:space="preserve"> Reduced Services Model - 3.3% being the proposed rate cap each year (current situation) for all rating categories. This is subject to variation by IPART annually and the rate cap percentage may vary from 3.3%.</w:t>
      </w:r>
    </w:p>
    <w:p w:rsidR="002B7F88" w:rsidRPr="008D7C80" w:rsidRDefault="002B7F88" w:rsidP="00316A5C">
      <w:pPr>
        <w:pStyle w:val="Default"/>
        <w:numPr>
          <w:ilvl w:val="0"/>
          <w:numId w:val="28"/>
        </w:numPr>
        <w:rPr>
          <w:rFonts w:asciiTheme="minorHAnsi" w:hAnsiTheme="minorHAnsi"/>
          <w:color w:val="1F497D" w:themeColor="text2"/>
          <w:sz w:val="22"/>
          <w:szCs w:val="22"/>
        </w:rPr>
      </w:pPr>
      <w:r w:rsidRPr="008D7C80">
        <w:rPr>
          <w:rFonts w:asciiTheme="minorHAnsi" w:hAnsiTheme="minorHAnsi"/>
          <w:b/>
          <w:color w:val="1F497D" w:themeColor="text2"/>
          <w:sz w:val="22"/>
          <w:szCs w:val="22"/>
        </w:rPr>
        <w:t xml:space="preserve">Option </w:t>
      </w:r>
      <w:r>
        <w:rPr>
          <w:rFonts w:asciiTheme="minorHAnsi" w:hAnsiTheme="minorHAnsi"/>
          <w:b/>
          <w:color w:val="1F497D" w:themeColor="text2"/>
          <w:sz w:val="22"/>
          <w:szCs w:val="22"/>
        </w:rPr>
        <w:t>2</w:t>
      </w:r>
      <w:r w:rsidRPr="008D7C80">
        <w:rPr>
          <w:rFonts w:asciiTheme="minorHAnsi" w:hAnsiTheme="minorHAnsi"/>
          <w:b/>
          <w:color w:val="1F497D" w:themeColor="text2"/>
          <w:sz w:val="22"/>
          <w:szCs w:val="22"/>
        </w:rPr>
        <w:t>:</w:t>
      </w:r>
      <w:r w:rsidRPr="008D7C80">
        <w:rPr>
          <w:rFonts w:asciiTheme="minorHAnsi" w:hAnsiTheme="minorHAnsi"/>
          <w:color w:val="1F497D" w:themeColor="text2"/>
          <w:sz w:val="22"/>
          <w:szCs w:val="22"/>
        </w:rPr>
        <w:t xml:space="preserve"> </w:t>
      </w:r>
      <w:r>
        <w:rPr>
          <w:rFonts w:asciiTheme="minorHAnsi" w:hAnsiTheme="minorHAnsi"/>
          <w:color w:val="1F497D" w:themeColor="text2"/>
          <w:sz w:val="22"/>
          <w:szCs w:val="22"/>
        </w:rPr>
        <w:t xml:space="preserve">Maintained Services </w:t>
      </w:r>
      <w:r w:rsidRPr="008D7C80">
        <w:rPr>
          <w:rFonts w:asciiTheme="minorHAnsi" w:hAnsiTheme="minorHAnsi"/>
          <w:color w:val="1F497D" w:themeColor="text2"/>
          <w:sz w:val="22"/>
          <w:szCs w:val="22"/>
        </w:rPr>
        <w:t>Model -15% per annum over 6 years (cumulative and permanent) for all rating categories which includes the rate cap proposed by IPART annually.</w:t>
      </w:r>
    </w:p>
    <w:p w:rsidR="002B7F88" w:rsidRDefault="002B7F88" w:rsidP="008D7C80">
      <w:pPr>
        <w:pStyle w:val="BodyText"/>
        <w:spacing w:before="0"/>
        <w:rPr>
          <w:rFonts w:asciiTheme="minorHAnsi" w:hAnsiTheme="minorHAnsi"/>
          <w:color w:val="1F497D" w:themeColor="text2"/>
          <w:sz w:val="22"/>
          <w:szCs w:val="22"/>
        </w:rPr>
      </w:pPr>
    </w:p>
    <w:p w:rsidR="002B7F88" w:rsidRDefault="002B7F88"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The Western Research Institute assessment of the above Option 1 in its report was as follows:</w:t>
      </w:r>
    </w:p>
    <w:p w:rsidR="002B7F88" w:rsidRDefault="002B7F88" w:rsidP="008D7C80">
      <w:pPr>
        <w:pStyle w:val="BodyText"/>
        <w:spacing w:before="0"/>
        <w:rPr>
          <w:rFonts w:asciiTheme="minorHAnsi" w:hAnsiTheme="minorHAnsi"/>
          <w:color w:val="1F497D" w:themeColor="text2"/>
          <w:sz w:val="22"/>
          <w:szCs w:val="22"/>
        </w:rPr>
      </w:pPr>
    </w:p>
    <w:p w:rsidR="002B7F88" w:rsidRPr="002B7F88" w:rsidRDefault="002B7F88" w:rsidP="00F81D20">
      <w:pPr>
        <w:ind w:left="28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Under this plan the proposed rates increase: </w:t>
      </w:r>
    </w:p>
    <w:p w:rsidR="002B7F88" w:rsidRPr="002B7F88" w:rsidRDefault="002B7F88" w:rsidP="00F81D20">
      <w:pPr>
        <w:pStyle w:val="ListParagraph"/>
        <w:numPr>
          <w:ilvl w:val="0"/>
          <w:numId w:val="44"/>
        </w:numPr>
        <w:ind w:left="100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exceeds the past and anticipated price increases for households; and </w:t>
      </w:r>
    </w:p>
    <w:p w:rsidR="002B7F88" w:rsidRPr="002B7F88" w:rsidRDefault="002B7F88" w:rsidP="00F81D20">
      <w:pPr>
        <w:pStyle w:val="ListParagraph"/>
        <w:numPr>
          <w:ilvl w:val="0"/>
          <w:numId w:val="44"/>
        </w:numPr>
        <w:ind w:left="1004"/>
        <w:rPr>
          <w:rFonts w:asciiTheme="minorHAnsi" w:hAnsiTheme="minorHAnsi"/>
          <w:i/>
          <w:color w:val="1F497D" w:themeColor="text2"/>
          <w:sz w:val="22"/>
          <w:szCs w:val="22"/>
        </w:rPr>
      </w:pPr>
      <w:proofErr w:type="gramStart"/>
      <w:r w:rsidRPr="002B7F88">
        <w:rPr>
          <w:rFonts w:asciiTheme="minorHAnsi" w:hAnsiTheme="minorHAnsi"/>
          <w:i/>
          <w:color w:val="1F497D" w:themeColor="text2"/>
          <w:sz w:val="22"/>
          <w:szCs w:val="22"/>
        </w:rPr>
        <w:t>exceeds</w:t>
      </w:r>
      <w:proofErr w:type="gramEnd"/>
      <w:r w:rsidRPr="002B7F88">
        <w:rPr>
          <w:rFonts w:asciiTheme="minorHAnsi" w:hAnsiTheme="minorHAnsi"/>
          <w:i/>
          <w:color w:val="1F497D" w:themeColor="text2"/>
          <w:sz w:val="22"/>
          <w:szCs w:val="22"/>
        </w:rPr>
        <w:t xml:space="preserve"> price changes in all input cost and wage cost categories for farm and non-farm businesses, except in the case of the upper range of the electricity price forecast. </w:t>
      </w:r>
    </w:p>
    <w:p w:rsidR="002B7F88" w:rsidRPr="002B7F88" w:rsidRDefault="002B7F88" w:rsidP="00F81D20">
      <w:pPr>
        <w:ind w:left="284"/>
        <w:rPr>
          <w:rFonts w:asciiTheme="minorHAnsi" w:hAnsiTheme="minorHAnsi"/>
          <w:i/>
          <w:color w:val="1F497D" w:themeColor="text2"/>
          <w:sz w:val="22"/>
          <w:szCs w:val="22"/>
        </w:rPr>
      </w:pPr>
    </w:p>
    <w:p w:rsidR="002B7F88" w:rsidRPr="002B7F88" w:rsidRDefault="002B7F88" w:rsidP="00F81D20">
      <w:pPr>
        <w:ind w:left="28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Despite this, the proposed increases are not expected to impose a significant burden on households and non-farm businesses as they will: </w:t>
      </w:r>
    </w:p>
    <w:p w:rsidR="002B7F88" w:rsidRPr="002B7F88" w:rsidRDefault="002B7F88" w:rsidP="00F81D20">
      <w:pPr>
        <w:pStyle w:val="ListParagraph"/>
        <w:numPr>
          <w:ilvl w:val="0"/>
          <w:numId w:val="42"/>
        </w:numPr>
        <w:ind w:left="100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change household expenditure on rates by less than one percentage point (for all households), suggesting that overall household expenditure will not be unduly compromised; and </w:t>
      </w:r>
    </w:p>
    <w:p w:rsidR="002B7F88" w:rsidRPr="002B7F88" w:rsidRDefault="002B7F88" w:rsidP="00F81D20">
      <w:pPr>
        <w:pStyle w:val="ListParagraph"/>
        <w:numPr>
          <w:ilvl w:val="0"/>
          <w:numId w:val="42"/>
        </w:numPr>
        <w:ind w:left="1004"/>
        <w:rPr>
          <w:rFonts w:asciiTheme="minorHAnsi" w:hAnsiTheme="minorHAnsi"/>
          <w:i/>
          <w:color w:val="1F497D" w:themeColor="text2"/>
          <w:sz w:val="22"/>
          <w:szCs w:val="22"/>
        </w:rPr>
      </w:pPr>
      <w:proofErr w:type="gramStart"/>
      <w:r w:rsidRPr="002B7F88">
        <w:rPr>
          <w:rFonts w:asciiTheme="minorHAnsi" w:hAnsiTheme="minorHAnsi"/>
          <w:i/>
          <w:color w:val="1F497D" w:themeColor="text2"/>
          <w:sz w:val="22"/>
          <w:szCs w:val="22"/>
        </w:rPr>
        <w:t>leave</w:t>
      </w:r>
      <w:proofErr w:type="gramEnd"/>
      <w:r w:rsidRPr="002B7F88">
        <w:rPr>
          <w:rFonts w:asciiTheme="minorHAnsi" w:hAnsiTheme="minorHAnsi"/>
          <w:i/>
          <w:color w:val="1F497D" w:themeColor="text2"/>
          <w:sz w:val="22"/>
          <w:szCs w:val="22"/>
        </w:rPr>
        <w:t xml:space="preserve"> rates as a proportion of non-farm business value added below 1%, indicating an insignificant impact on business viability. </w:t>
      </w:r>
    </w:p>
    <w:p w:rsidR="002B7F88" w:rsidRPr="002B7F88" w:rsidRDefault="002B7F88" w:rsidP="00F81D20">
      <w:pPr>
        <w:ind w:left="284"/>
        <w:rPr>
          <w:rFonts w:asciiTheme="minorHAnsi" w:hAnsiTheme="minorHAnsi"/>
          <w:i/>
          <w:color w:val="1F497D" w:themeColor="text2"/>
          <w:sz w:val="22"/>
          <w:szCs w:val="22"/>
        </w:rPr>
      </w:pPr>
    </w:p>
    <w:p w:rsidR="002B7F88" w:rsidRPr="002B7F88" w:rsidRDefault="002B7F88" w:rsidP="00F81D20">
      <w:pPr>
        <w:ind w:left="28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For farm businesses, the proposed increases will see rates as a proportion of value added increase from 1.11% to 2.76% (under a scenario where climate variability and market conditions restrict growth in farm output). </w:t>
      </w:r>
    </w:p>
    <w:p w:rsidR="002B7F88" w:rsidRPr="002B7F88" w:rsidRDefault="002B7F88" w:rsidP="00F81D20">
      <w:pPr>
        <w:ind w:left="284"/>
        <w:rPr>
          <w:rFonts w:asciiTheme="minorHAnsi" w:hAnsiTheme="minorHAnsi"/>
          <w:i/>
          <w:color w:val="1F497D" w:themeColor="text2"/>
          <w:sz w:val="22"/>
          <w:szCs w:val="22"/>
        </w:rPr>
      </w:pPr>
    </w:p>
    <w:p w:rsidR="002B7F88" w:rsidRPr="002B7F88" w:rsidRDefault="002B7F88" w:rsidP="00F81D20">
      <w:pPr>
        <w:ind w:left="28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An alternative increase in farmland rates of 9.95% per annum has been modelled by WRI. This level of increase will be serviceable by Blayney Shire farm businesses. </w:t>
      </w:r>
    </w:p>
    <w:p w:rsidR="002B7F88" w:rsidRPr="002B7F88" w:rsidRDefault="002B7F88" w:rsidP="00F81D20">
      <w:pPr>
        <w:ind w:left="284"/>
        <w:rPr>
          <w:rFonts w:asciiTheme="minorHAnsi" w:hAnsiTheme="minorHAnsi"/>
          <w:i/>
          <w:color w:val="1F497D" w:themeColor="text2"/>
          <w:sz w:val="22"/>
          <w:szCs w:val="22"/>
        </w:rPr>
      </w:pPr>
    </w:p>
    <w:p w:rsidR="002B7F88" w:rsidRPr="002B7F88" w:rsidRDefault="002B7F88" w:rsidP="00F81D20">
      <w:pPr>
        <w:ind w:left="28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Under the maintained services plan: </w:t>
      </w:r>
    </w:p>
    <w:p w:rsidR="002B7F88" w:rsidRPr="002B7F88" w:rsidRDefault="002B7F88" w:rsidP="00F81D20">
      <w:pPr>
        <w:pStyle w:val="ListParagraph"/>
        <w:numPr>
          <w:ilvl w:val="0"/>
          <w:numId w:val="43"/>
        </w:numPr>
        <w:ind w:left="100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residential rates in Blayney Shire will be above residential rates in Group 10 LGAs and neighbouring LGAs (Bathurst, </w:t>
      </w:r>
      <w:proofErr w:type="spellStart"/>
      <w:r w:rsidRPr="002B7F88">
        <w:rPr>
          <w:rFonts w:asciiTheme="minorHAnsi" w:hAnsiTheme="minorHAnsi"/>
          <w:i/>
          <w:color w:val="1F497D" w:themeColor="text2"/>
          <w:sz w:val="22"/>
          <w:szCs w:val="22"/>
        </w:rPr>
        <w:t>Cabonne</w:t>
      </w:r>
      <w:proofErr w:type="spellEnd"/>
      <w:r w:rsidRPr="002B7F88">
        <w:rPr>
          <w:rFonts w:asciiTheme="minorHAnsi" w:hAnsiTheme="minorHAnsi"/>
          <w:i/>
          <w:color w:val="1F497D" w:themeColor="text2"/>
          <w:sz w:val="22"/>
          <w:szCs w:val="22"/>
        </w:rPr>
        <w:t>, Cowra and Orange);</w:t>
      </w:r>
    </w:p>
    <w:p w:rsidR="002B7F88" w:rsidRPr="002B7F88" w:rsidRDefault="002B7F88" w:rsidP="00F81D20">
      <w:pPr>
        <w:pStyle w:val="ListParagraph"/>
        <w:numPr>
          <w:ilvl w:val="0"/>
          <w:numId w:val="43"/>
        </w:numPr>
        <w:ind w:left="1004"/>
        <w:rPr>
          <w:rFonts w:asciiTheme="minorHAnsi" w:hAnsiTheme="minorHAnsi"/>
          <w:i/>
          <w:color w:val="1F497D" w:themeColor="text2"/>
          <w:sz w:val="22"/>
          <w:szCs w:val="22"/>
        </w:rPr>
      </w:pPr>
      <w:r w:rsidRPr="002B7F88">
        <w:rPr>
          <w:rFonts w:asciiTheme="minorHAnsi" w:hAnsiTheme="minorHAnsi"/>
          <w:i/>
          <w:color w:val="1F497D" w:themeColor="text2"/>
          <w:sz w:val="22"/>
          <w:szCs w:val="22"/>
        </w:rPr>
        <w:t xml:space="preserve">farmland rates will be above farmland rates in peer LGAs; and </w:t>
      </w:r>
    </w:p>
    <w:p w:rsidR="002B7F88" w:rsidRPr="002B7F88" w:rsidRDefault="002B7F88" w:rsidP="00F81D20">
      <w:pPr>
        <w:pStyle w:val="ListParagraph"/>
        <w:numPr>
          <w:ilvl w:val="0"/>
          <w:numId w:val="43"/>
        </w:numPr>
        <w:ind w:left="1004"/>
        <w:rPr>
          <w:rFonts w:asciiTheme="minorHAnsi" w:hAnsiTheme="minorHAnsi"/>
          <w:i/>
          <w:color w:val="1F497D" w:themeColor="text2"/>
          <w:sz w:val="22"/>
          <w:szCs w:val="22"/>
        </w:rPr>
      </w:pPr>
      <w:proofErr w:type="gramStart"/>
      <w:r w:rsidRPr="002B7F88">
        <w:rPr>
          <w:rFonts w:asciiTheme="minorHAnsi" w:hAnsiTheme="minorHAnsi"/>
          <w:i/>
          <w:color w:val="1F497D" w:themeColor="text2"/>
          <w:sz w:val="22"/>
          <w:szCs w:val="22"/>
        </w:rPr>
        <w:t>business</w:t>
      </w:r>
      <w:proofErr w:type="gramEnd"/>
      <w:r w:rsidRPr="002B7F88">
        <w:rPr>
          <w:rFonts w:asciiTheme="minorHAnsi" w:hAnsiTheme="minorHAnsi"/>
          <w:i/>
          <w:color w:val="1F497D" w:themeColor="text2"/>
          <w:sz w:val="22"/>
          <w:szCs w:val="22"/>
        </w:rPr>
        <w:t xml:space="preserve"> rates will be below or at the same level as business rates in peer LGAs. </w:t>
      </w:r>
    </w:p>
    <w:p w:rsidR="002B7F88" w:rsidRDefault="002B7F88" w:rsidP="008D7C80">
      <w:pPr>
        <w:pStyle w:val="BodyText"/>
        <w:spacing w:before="0"/>
        <w:rPr>
          <w:rFonts w:asciiTheme="minorHAnsi" w:hAnsiTheme="minorHAnsi"/>
          <w:color w:val="1F497D" w:themeColor="text2"/>
          <w:sz w:val="22"/>
          <w:szCs w:val="22"/>
        </w:rPr>
      </w:pPr>
    </w:p>
    <w:p w:rsidR="000506D7" w:rsidRDefault="000506D7" w:rsidP="000506D7">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Whilst this application is below that assessed above the assessment remains relevant. </w:t>
      </w:r>
    </w:p>
    <w:p w:rsidR="000506D7" w:rsidRDefault="000506D7" w:rsidP="008D7C80">
      <w:pPr>
        <w:pStyle w:val="BodyText"/>
        <w:spacing w:before="0"/>
        <w:rPr>
          <w:rFonts w:asciiTheme="minorHAnsi" w:hAnsiTheme="minorHAnsi"/>
          <w:color w:val="1F497D" w:themeColor="text2"/>
          <w:sz w:val="22"/>
          <w:szCs w:val="22"/>
        </w:rPr>
      </w:pPr>
    </w:p>
    <w:p w:rsidR="0036140D" w:rsidRDefault="00392C1C"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Whilst Council consulted the community on the preliminary models of Reduced Services</w:t>
      </w:r>
      <w:r w:rsidR="0036140D">
        <w:rPr>
          <w:rFonts w:asciiTheme="minorHAnsi" w:hAnsiTheme="minorHAnsi"/>
          <w:color w:val="1F497D" w:themeColor="text2"/>
          <w:sz w:val="22"/>
          <w:szCs w:val="22"/>
        </w:rPr>
        <w:t xml:space="preserve"> (rate-peg of 3.3%)</w:t>
      </w:r>
      <w:r>
        <w:rPr>
          <w:rFonts w:asciiTheme="minorHAnsi" w:hAnsiTheme="minorHAnsi"/>
          <w:color w:val="1F497D" w:themeColor="text2"/>
          <w:sz w:val="22"/>
          <w:szCs w:val="22"/>
        </w:rPr>
        <w:t xml:space="preserve">; </w:t>
      </w:r>
      <w:r w:rsidR="0036140D">
        <w:rPr>
          <w:rFonts w:asciiTheme="minorHAnsi" w:hAnsiTheme="minorHAnsi"/>
          <w:color w:val="1F497D" w:themeColor="text2"/>
          <w:sz w:val="22"/>
          <w:szCs w:val="22"/>
        </w:rPr>
        <w:t>Maintain Model (10% p.a. over 4 years); and Road to Infrastructure Model (15% p.a. over 6 years), a variety of material was provided to members of the community including the following:</w:t>
      </w:r>
    </w:p>
    <w:p w:rsidR="0036140D" w:rsidRDefault="0036140D" w:rsidP="00316A5C">
      <w:pPr>
        <w:pStyle w:val="BodyText"/>
        <w:numPr>
          <w:ilvl w:val="0"/>
          <w:numId w:val="45"/>
        </w:numPr>
        <w:spacing w:before="0"/>
        <w:rPr>
          <w:rFonts w:asciiTheme="minorHAnsi" w:hAnsiTheme="minorHAnsi"/>
          <w:color w:val="1F497D" w:themeColor="text2"/>
          <w:sz w:val="22"/>
          <w:szCs w:val="22"/>
        </w:rPr>
      </w:pPr>
      <w:r>
        <w:rPr>
          <w:rFonts w:asciiTheme="minorHAnsi" w:hAnsiTheme="minorHAnsi"/>
          <w:color w:val="1F497D" w:themeColor="text2"/>
          <w:sz w:val="22"/>
          <w:szCs w:val="22"/>
        </w:rPr>
        <w:lastRenderedPageBreak/>
        <w:t>handouts in community meetings that included impacts on average rates in each category;</w:t>
      </w:r>
    </w:p>
    <w:p w:rsidR="00C62E19" w:rsidRDefault="0036140D" w:rsidP="00316A5C">
      <w:pPr>
        <w:pStyle w:val="BodyText"/>
        <w:numPr>
          <w:ilvl w:val="0"/>
          <w:numId w:val="45"/>
        </w:numPr>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posters on display in community meetings summarising </w:t>
      </w:r>
      <w:r w:rsidR="00C62E19">
        <w:rPr>
          <w:rFonts w:asciiTheme="minorHAnsi" w:hAnsiTheme="minorHAnsi"/>
          <w:color w:val="1F497D" w:themeColor="text2"/>
          <w:sz w:val="22"/>
          <w:szCs w:val="22"/>
        </w:rPr>
        <w:t>rating impacts on averages for each category over 6 years showing differences between the three models. The weekly and annual impacts were summarised;</w:t>
      </w:r>
    </w:p>
    <w:p w:rsidR="00C62E19" w:rsidRDefault="00C62E19" w:rsidP="00316A5C">
      <w:pPr>
        <w:pStyle w:val="BodyText"/>
        <w:numPr>
          <w:ilvl w:val="0"/>
          <w:numId w:val="45"/>
        </w:numPr>
        <w:spacing w:before="0"/>
        <w:rPr>
          <w:rFonts w:asciiTheme="minorHAnsi" w:hAnsiTheme="minorHAnsi"/>
          <w:color w:val="1F497D" w:themeColor="text2"/>
          <w:sz w:val="22"/>
          <w:szCs w:val="22"/>
        </w:rPr>
      </w:pPr>
      <w:proofErr w:type="spellStart"/>
      <w:r w:rsidRPr="00C62E19">
        <w:rPr>
          <w:rFonts w:asciiTheme="minorHAnsi" w:hAnsiTheme="minorHAnsi"/>
          <w:color w:val="1F497D" w:themeColor="text2"/>
          <w:sz w:val="22"/>
          <w:szCs w:val="22"/>
        </w:rPr>
        <w:t>a</w:t>
      </w:r>
      <w:proofErr w:type="spellEnd"/>
      <w:r w:rsidRPr="00C62E19">
        <w:rPr>
          <w:rFonts w:asciiTheme="minorHAnsi" w:hAnsiTheme="minorHAnsi"/>
          <w:color w:val="1F497D" w:themeColor="text2"/>
          <w:sz w:val="22"/>
          <w:szCs w:val="22"/>
        </w:rPr>
        <w:t xml:space="preserve"> rates calculator was also placed on Council’s website and was available for the community to view at meetings conducted; </w:t>
      </w:r>
    </w:p>
    <w:p w:rsidR="000506D7" w:rsidRPr="00C62E19" w:rsidRDefault="00C62E19" w:rsidP="00316A5C">
      <w:pPr>
        <w:pStyle w:val="BodyText"/>
        <w:numPr>
          <w:ilvl w:val="0"/>
          <w:numId w:val="45"/>
        </w:numPr>
        <w:spacing w:before="0"/>
        <w:rPr>
          <w:rFonts w:asciiTheme="minorHAnsi" w:hAnsiTheme="minorHAnsi"/>
          <w:color w:val="1F497D" w:themeColor="text2"/>
          <w:sz w:val="22"/>
          <w:szCs w:val="22"/>
        </w:rPr>
      </w:pPr>
      <w:proofErr w:type="gramStart"/>
      <w:r>
        <w:rPr>
          <w:rFonts w:asciiTheme="minorHAnsi" w:hAnsiTheme="minorHAnsi"/>
          <w:color w:val="1F497D" w:themeColor="text2"/>
          <w:sz w:val="22"/>
          <w:szCs w:val="22"/>
        </w:rPr>
        <w:t>r</w:t>
      </w:r>
      <w:r w:rsidRPr="00C62E19">
        <w:rPr>
          <w:rFonts w:asciiTheme="minorHAnsi" w:hAnsiTheme="minorHAnsi"/>
          <w:color w:val="1F497D" w:themeColor="text2"/>
          <w:sz w:val="22"/>
          <w:szCs w:val="22"/>
        </w:rPr>
        <w:t>eference</w:t>
      </w:r>
      <w:proofErr w:type="gramEnd"/>
      <w:r w:rsidRPr="00C62E19">
        <w:rPr>
          <w:rFonts w:asciiTheme="minorHAnsi" w:hAnsiTheme="minorHAnsi"/>
          <w:color w:val="1F497D" w:themeColor="text2"/>
          <w:sz w:val="22"/>
          <w:szCs w:val="22"/>
        </w:rPr>
        <w:t xml:space="preserve"> of impacts </w:t>
      </w:r>
      <w:r>
        <w:rPr>
          <w:rFonts w:asciiTheme="minorHAnsi" w:hAnsiTheme="minorHAnsi"/>
          <w:color w:val="1F497D" w:themeColor="text2"/>
          <w:sz w:val="22"/>
          <w:szCs w:val="22"/>
        </w:rPr>
        <w:t xml:space="preserve">over ten (10) years including weekly and </w:t>
      </w:r>
      <w:r w:rsidR="0002747D">
        <w:rPr>
          <w:rFonts w:asciiTheme="minorHAnsi" w:hAnsiTheme="minorHAnsi"/>
          <w:color w:val="1F497D" w:themeColor="text2"/>
          <w:sz w:val="22"/>
          <w:szCs w:val="22"/>
        </w:rPr>
        <w:t xml:space="preserve">annual effects </w:t>
      </w:r>
      <w:r w:rsidRPr="00C62E19">
        <w:rPr>
          <w:rFonts w:asciiTheme="minorHAnsi" w:hAnsiTheme="minorHAnsi"/>
          <w:color w:val="1F497D" w:themeColor="text2"/>
          <w:sz w:val="22"/>
          <w:szCs w:val="22"/>
        </w:rPr>
        <w:t xml:space="preserve">was also included in the Long Term Financial </w:t>
      </w:r>
      <w:r w:rsidR="0002747D">
        <w:rPr>
          <w:rFonts w:asciiTheme="minorHAnsi" w:hAnsiTheme="minorHAnsi"/>
          <w:color w:val="1F497D" w:themeColor="text2"/>
          <w:sz w:val="22"/>
          <w:szCs w:val="22"/>
        </w:rPr>
        <w:t xml:space="preserve">Plan </w:t>
      </w:r>
      <w:r>
        <w:rPr>
          <w:rFonts w:asciiTheme="minorHAnsi" w:hAnsiTheme="minorHAnsi"/>
          <w:color w:val="1F497D" w:themeColor="text2"/>
          <w:sz w:val="22"/>
          <w:szCs w:val="22"/>
        </w:rPr>
        <w:t>placed on exhibition.</w:t>
      </w:r>
    </w:p>
    <w:p w:rsidR="009015C7" w:rsidRDefault="009015C7" w:rsidP="008D7C80">
      <w:pPr>
        <w:pStyle w:val="BodyText"/>
        <w:spacing w:before="0"/>
        <w:rPr>
          <w:rFonts w:asciiTheme="minorHAnsi" w:hAnsiTheme="minorHAnsi"/>
          <w:color w:val="1F497D" w:themeColor="text2"/>
          <w:sz w:val="22"/>
          <w:szCs w:val="22"/>
        </w:rPr>
      </w:pPr>
    </w:p>
    <w:p w:rsidR="00C62E19" w:rsidRPr="00C62E19" w:rsidRDefault="00C62E19" w:rsidP="00C62E19">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With adoption of the Community Informed Services Model r</w:t>
      </w:r>
      <w:r w:rsidRPr="00C62E19">
        <w:rPr>
          <w:rFonts w:asciiTheme="minorHAnsi" w:hAnsiTheme="minorHAnsi"/>
          <w:color w:val="1F497D" w:themeColor="text2"/>
          <w:sz w:val="22"/>
          <w:szCs w:val="22"/>
        </w:rPr>
        <w:t xml:space="preserve">eference of impacts </w:t>
      </w:r>
      <w:r>
        <w:rPr>
          <w:rFonts w:asciiTheme="minorHAnsi" w:hAnsiTheme="minorHAnsi"/>
          <w:color w:val="1F497D" w:themeColor="text2"/>
          <w:sz w:val="22"/>
          <w:szCs w:val="22"/>
        </w:rPr>
        <w:t xml:space="preserve">over ten (10) years including weekly and annual effects </w:t>
      </w:r>
      <w:r w:rsidR="0002747D">
        <w:rPr>
          <w:rFonts w:asciiTheme="minorHAnsi" w:hAnsiTheme="minorHAnsi"/>
          <w:color w:val="1F497D" w:themeColor="text2"/>
          <w:sz w:val="22"/>
          <w:szCs w:val="22"/>
        </w:rPr>
        <w:t xml:space="preserve">is </w:t>
      </w:r>
      <w:r w:rsidRPr="00C62E19">
        <w:rPr>
          <w:rFonts w:asciiTheme="minorHAnsi" w:hAnsiTheme="minorHAnsi"/>
          <w:color w:val="1F497D" w:themeColor="text2"/>
          <w:sz w:val="22"/>
          <w:szCs w:val="22"/>
        </w:rPr>
        <w:t xml:space="preserve">included in the </w:t>
      </w:r>
      <w:r w:rsidR="0002747D">
        <w:rPr>
          <w:rFonts w:asciiTheme="minorHAnsi" w:hAnsiTheme="minorHAnsi"/>
          <w:color w:val="1F497D" w:themeColor="text2"/>
          <w:sz w:val="22"/>
          <w:szCs w:val="22"/>
        </w:rPr>
        <w:t xml:space="preserve">adopted </w:t>
      </w:r>
      <w:r w:rsidRPr="00C62E19">
        <w:rPr>
          <w:rFonts w:asciiTheme="minorHAnsi" w:hAnsiTheme="minorHAnsi"/>
          <w:color w:val="1F497D" w:themeColor="text2"/>
          <w:sz w:val="22"/>
          <w:szCs w:val="22"/>
        </w:rPr>
        <w:t xml:space="preserve">Long Term Financial </w:t>
      </w:r>
      <w:r w:rsidR="0002747D">
        <w:rPr>
          <w:rFonts w:asciiTheme="minorHAnsi" w:hAnsiTheme="minorHAnsi"/>
          <w:color w:val="1F497D" w:themeColor="text2"/>
          <w:sz w:val="22"/>
          <w:szCs w:val="22"/>
        </w:rPr>
        <w:t xml:space="preserve">Plan </w:t>
      </w:r>
      <w:r>
        <w:rPr>
          <w:rFonts w:asciiTheme="minorHAnsi" w:hAnsiTheme="minorHAnsi"/>
          <w:color w:val="1F497D" w:themeColor="text2"/>
          <w:sz w:val="22"/>
          <w:szCs w:val="22"/>
        </w:rPr>
        <w:t>placed on exhibition.</w:t>
      </w:r>
    </w:p>
    <w:p w:rsidR="009015C7" w:rsidRDefault="009015C7" w:rsidP="008D7C80">
      <w:pPr>
        <w:pStyle w:val="BodyText"/>
        <w:spacing w:before="0"/>
        <w:rPr>
          <w:rFonts w:asciiTheme="minorHAnsi" w:hAnsiTheme="minorHAnsi"/>
          <w:color w:val="1F497D" w:themeColor="text2"/>
          <w:sz w:val="22"/>
          <w:szCs w:val="22"/>
        </w:rPr>
      </w:pPr>
    </w:p>
    <w:p w:rsidR="009015C7" w:rsidRDefault="0002747D"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The impact across all categories is on a consistent (percentage) basis when existing special rate variations are excluded. </w:t>
      </w:r>
    </w:p>
    <w:p w:rsidR="002859FE" w:rsidRDefault="002859FE" w:rsidP="008D7C80">
      <w:pPr>
        <w:pStyle w:val="BodyText"/>
        <w:spacing w:before="0"/>
        <w:rPr>
          <w:rFonts w:asciiTheme="minorHAnsi" w:hAnsiTheme="minorHAnsi"/>
          <w:color w:val="1F497D" w:themeColor="text2"/>
          <w:sz w:val="22"/>
          <w:szCs w:val="22"/>
        </w:rPr>
      </w:pPr>
    </w:p>
    <w:p w:rsidR="00D44087" w:rsidRPr="00CC0E54" w:rsidRDefault="00D44087" w:rsidP="008D7C80">
      <w:pPr>
        <w:pStyle w:val="BodyText"/>
        <w:spacing w:before="0"/>
        <w:rPr>
          <w:rFonts w:asciiTheme="minorHAnsi" w:hAnsiTheme="minorHAnsi"/>
          <w:color w:val="1F497D" w:themeColor="text2"/>
          <w:sz w:val="22"/>
          <w:szCs w:val="22"/>
        </w:rPr>
      </w:pPr>
      <w:r w:rsidRPr="00CC0E54">
        <w:rPr>
          <w:rFonts w:asciiTheme="minorHAnsi" w:hAnsiTheme="minorHAnsi"/>
          <w:color w:val="1F497D" w:themeColor="text2"/>
          <w:sz w:val="22"/>
          <w:szCs w:val="22"/>
        </w:rPr>
        <w:t>In response to concerns expressed by farmers in community meetings Council will be undertaking a review of the base rates in each category, in addition to consolidation of some sub-categories, with a view to address the disparity i.e. highs and lows in each category.</w:t>
      </w:r>
    </w:p>
    <w:p w:rsidR="00C95E68" w:rsidRPr="00CC0E54" w:rsidRDefault="00C95E68" w:rsidP="00C95E68">
      <w:pPr>
        <w:pStyle w:val="Heading2"/>
      </w:pPr>
      <w:bookmarkStart w:id="27" w:name="_Toc380956896"/>
      <w:r w:rsidRPr="00CC0E54">
        <w:t>Considering the community’s capacity and willingness to pay</w:t>
      </w:r>
      <w:bookmarkEnd w:id="27"/>
    </w:p>
    <w:p w:rsidR="00F80E4D" w:rsidRDefault="00C95E68" w:rsidP="002C54BE">
      <w:pPr>
        <w:pStyle w:val="BodyText"/>
      </w:pPr>
      <w:r>
        <w:t>Indicate how</w:t>
      </w:r>
      <w:r w:rsidR="009B2A36">
        <w:t xml:space="preserve"> the council</w:t>
      </w:r>
      <w:r>
        <w:t xml:space="preserve"> </w:t>
      </w:r>
      <w:r w:rsidR="004E16CE">
        <w:t xml:space="preserve">has </w:t>
      </w:r>
      <w:r>
        <w:t xml:space="preserve">assessed </w:t>
      </w:r>
      <w:r w:rsidR="009B2A36">
        <w:t xml:space="preserve">the </w:t>
      </w:r>
      <w:r>
        <w:t xml:space="preserve">community’s capacity to pay for the rate increases </w:t>
      </w:r>
      <w:r w:rsidR="009B2A36">
        <w:t xml:space="preserve">being </w:t>
      </w:r>
      <w:r>
        <w:t>propos</w:t>
      </w:r>
      <w:r w:rsidR="009B2A36">
        <w:t xml:space="preserve">ed, and </w:t>
      </w:r>
      <w:r w:rsidR="004E16CE">
        <w:t xml:space="preserve">also </w:t>
      </w:r>
      <w:r>
        <w:t>assessed its willingness to pay.</w:t>
      </w:r>
      <w:r w:rsidR="00F80E4D">
        <w:t xml:space="preserve">  </w:t>
      </w:r>
    </w:p>
    <w:p w:rsidR="00C95E68" w:rsidRDefault="00F80E4D" w:rsidP="002C54BE">
      <w:pPr>
        <w:pStyle w:val="BodyText"/>
      </w:pPr>
      <w:r w:rsidRPr="009D5ABD">
        <w:t xml:space="preserve">Evidence on capacity to pay </w:t>
      </w:r>
      <w:r w:rsidR="004E16CE" w:rsidRPr="009D5ABD">
        <w:t>could</w:t>
      </w:r>
      <w:r w:rsidRPr="009D5ABD">
        <w:t xml:space="preserve"> include a discussion of such indicators as SEIFA rankings</w:t>
      </w:r>
      <w:r w:rsidR="00BC076A" w:rsidRPr="009D5ABD">
        <w:t>, land values, average rates,</w:t>
      </w:r>
      <w:r w:rsidRPr="009D5ABD">
        <w:t xml:space="preserve"> disposable incomes</w:t>
      </w:r>
      <w:r w:rsidR="00BC076A" w:rsidRPr="009D5ABD">
        <w:t>,</w:t>
      </w:r>
      <w:r w:rsidRPr="009D5ABD">
        <w:t xml:space="preserve"> </w:t>
      </w:r>
      <w:r w:rsidR="005E09B2" w:rsidRPr="009D5ABD">
        <w:t>the outstanding rates ratio</w:t>
      </w:r>
      <w:r w:rsidR="00BC076A" w:rsidRPr="009D5ABD">
        <w:t xml:space="preserve"> and rates as a proportion of household</w:t>
      </w:r>
      <w:r w:rsidR="003F599F" w:rsidRPr="009D5ABD">
        <w:t>/business/farmland</w:t>
      </w:r>
      <w:r w:rsidR="00BC076A" w:rsidRPr="009D5ABD">
        <w:t xml:space="preserve"> income and expenditure</w:t>
      </w:r>
      <w:r w:rsidR="00D32379" w:rsidRPr="009D5ABD">
        <w:t>,</w:t>
      </w:r>
      <w:r w:rsidR="00D32379" w:rsidRPr="00525B8C">
        <w:t xml:space="preserve"> and how these measures relate to those in comparable council areas.  </w:t>
      </w:r>
      <w:r w:rsidR="004E16CE" w:rsidRPr="00525B8C">
        <w:t>As many of t</w:t>
      </w:r>
      <w:r w:rsidR="00834D7F" w:rsidRPr="00525B8C">
        <w:t xml:space="preserve">hese measures are </w:t>
      </w:r>
      <w:r w:rsidR="004E16CE" w:rsidRPr="00525B8C">
        <w:t xml:space="preserve">highly aggregated, it may </w:t>
      </w:r>
      <w:r w:rsidR="00CE0169" w:rsidRPr="00525B8C">
        <w:t xml:space="preserve">also </w:t>
      </w:r>
      <w:r w:rsidR="004E16CE" w:rsidRPr="00525B8C">
        <w:t xml:space="preserve">be useful to </w:t>
      </w:r>
      <w:r w:rsidR="00CE0169" w:rsidRPr="00525B8C">
        <w:t xml:space="preserve">discuss other </w:t>
      </w:r>
      <w:r w:rsidR="00D32379" w:rsidRPr="00525B8C">
        <w:t xml:space="preserve">factors </w:t>
      </w:r>
      <w:r w:rsidR="00CE0169" w:rsidRPr="00525B8C">
        <w:t xml:space="preserve">that could better explain </w:t>
      </w:r>
      <w:r w:rsidR="00C9118D" w:rsidRPr="00525B8C">
        <w:t xml:space="preserve">the impact on </w:t>
      </w:r>
      <w:r w:rsidR="004E16CE" w:rsidRPr="00525B8C">
        <w:t>ratepayers affected by the proposed rate increases</w:t>
      </w:r>
      <w:r w:rsidR="00CE0169" w:rsidRPr="00525B8C">
        <w:t>, particularly if the impact varies across different categories of ratepayers.</w:t>
      </w:r>
      <w:r w:rsidR="004E16CE">
        <w:t xml:space="preserve">  </w:t>
      </w:r>
    </w:p>
    <w:p w:rsidR="00401182" w:rsidRPr="008D7C80" w:rsidRDefault="00401182" w:rsidP="00401182">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DC1AE2" w:rsidRDefault="00DC1AE2" w:rsidP="00401182">
      <w:pPr>
        <w:pStyle w:val="BodyText"/>
        <w:spacing w:before="0"/>
        <w:rPr>
          <w:rFonts w:asciiTheme="minorHAnsi" w:hAnsiTheme="minorHAnsi"/>
          <w:color w:val="1F497D" w:themeColor="text2"/>
          <w:sz w:val="22"/>
          <w:szCs w:val="22"/>
        </w:rPr>
      </w:pPr>
    </w:p>
    <w:p w:rsidR="00DC1AE2" w:rsidRDefault="00DC1AE2" w:rsidP="00401182">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SEIFA</w:t>
      </w:r>
      <w:r w:rsidR="00A52BAF">
        <w:rPr>
          <w:rFonts w:asciiTheme="minorHAnsi" w:hAnsiTheme="minorHAnsi"/>
          <w:color w:val="1F497D" w:themeColor="text2"/>
          <w:sz w:val="22"/>
          <w:szCs w:val="22"/>
        </w:rPr>
        <w:t xml:space="preserve"> ASSESSMENT</w:t>
      </w:r>
    </w:p>
    <w:p w:rsidR="00C566B1" w:rsidRDefault="00F92314" w:rsidP="00401182">
      <w:pPr>
        <w:pStyle w:val="BodyText"/>
        <w:spacing w:before="0"/>
        <w:rPr>
          <w:rFonts w:asciiTheme="minorHAnsi" w:hAnsiTheme="minorHAnsi"/>
          <w:color w:val="1F497D" w:themeColor="text2"/>
          <w:sz w:val="22"/>
          <w:szCs w:val="22"/>
        </w:rPr>
      </w:pPr>
      <w:r w:rsidRPr="00741FD4">
        <w:rPr>
          <w:rFonts w:asciiTheme="minorHAnsi" w:hAnsiTheme="minorHAnsi"/>
          <w:color w:val="1F497D" w:themeColor="text2"/>
          <w:sz w:val="22"/>
          <w:szCs w:val="22"/>
        </w:rPr>
        <w:t>Using the S</w:t>
      </w:r>
      <w:r w:rsidR="001A0DD1" w:rsidRPr="00741FD4">
        <w:rPr>
          <w:rFonts w:asciiTheme="minorHAnsi" w:hAnsiTheme="minorHAnsi"/>
          <w:color w:val="1F497D" w:themeColor="text2"/>
          <w:sz w:val="22"/>
          <w:szCs w:val="22"/>
        </w:rPr>
        <w:t>E</w:t>
      </w:r>
      <w:r w:rsidRPr="00741FD4">
        <w:rPr>
          <w:rFonts w:asciiTheme="minorHAnsi" w:hAnsiTheme="minorHAnsi"/>
          <w:color w:val="1F497D" w:themeColor="text2"/>
          <w:sz w:val="22"/>
          <w:szCs w:val="22"/>
        </w:rPr>
        <w:t xml:space="preserve">IFA Index </w:t>
      </w:r>
      <w:r w:rsidR="00864E00" w:rsidRPr="00741FD4">
        <w:rPr>
          <w:rFonts w:asciiTheme="minorHAnsi" w:hAnsiTheme="minorHAnsi"/>
          <w:color w:val="1F497D" w:themeColor="text2"/>
          <w:sz w:val="22"/>
          <w:szCs w:val="22"/>
        </w:rPr>
        <w:t xml:space="preserve">for disadvantage </w:t>
      </w:r>
      <w:r w:rsidRPr="00741FD4">
        <w:rPr>
          <w:rFonts w:asciiTheme="minorHAnsi" w:hAnsiTheme="minorHAnsi"/>
          <w:color w:val="1F497D" w:themeColor="text2"/>
          <w:sz w:val="22"/>
          <w:szCs w:val="22"/>
        </w:rPr>
        <w:t xml:space="preserve">(2011 census data) </w:t>
      </w:r>
      <w:r w:rsidR="00A44C01" w:rsidRPr="00741FD4">
        <w:rPr>
          <w:rFonts w:asciiTheme="minorHAnsi" w:hAnsiTheme="minorHAnsi"/>
          <w:color w:val="1F497D" w:themeColor="text2"/>
          <w:sz w:val="22"/>
          <w:szCs w:val="22"/>
        </w:rPr>
        <w:t xml:space="preserve">Blayney </w:t>
      </w:r>
      <w:r w:rsidRPr="00741FD4">
        <w:rPr>
          <w:rFonts w:asciiTheme="minorHAnsi" w:hAnsiTheme="minorHAnsi"/>
          <w:color w:val="1F497D" w:themeColor="text2"/>
          <w:sz w:val="22"/>
          <w:szCs w:val="22"/>
        </w:rPr>
        <w:t xml:space="preserve">Shire had </w:t>
      </w:r>
      <w:r w:rsidR="001A0DD1" w:rsidRPr="00741FD4">
        <w:rPr>
          <w:rFonts w:asciiTheme="minorHAnsi" w:hAnsiTheme="minorHAnsi"/>
          <w:color w:val="1F497D" w:themeColor="text2"/>
          <w:sz w:val="22"/>
          <w:szCs w:val="22"/>
        </w:rPr>
        <w:t xml:space="preserve">a SEIFA index of 982. Blayney </w:t>
      </w:r>
      <w:r w:rsidR="00A52BAF">
        <w:rPr>
          <w:rFonts w:asciiTheme="minorHAnsi" w:hAnsiTheme="minorHAnsi"/>
          <w:color w:val="1F497D" w:themeColor="text2"/>
          <w:sz w:val="22"/>
          <w:szCs w:val="22"/>
        </w:rPr>
        <w:t xml:space="preserve">Shire </w:t>
      </w:r>
      <w:r w:rsidR="001A0DD1" w:rsidRPr="00741FD4">
        <w:rPr>
          <w:rFonts w:asciiTheme="minorHAnsi" w:hAnsiTheme="minorHAnsi"/>
          <w:color w:val="1F497D" w:themeColor="text2"/>
          <w:sz w:val="22"/>
          <w:szCs w:val="22"/>
        </w:rPr>
        <w:t xml:space="preserve">ranks </w:t>
      </w:r>
      <w:r w:rsidR="001D6E59" w:rsidRPr="00741FD4">
        <w:rPr>
          <w:rFonts w:asciiTheme="minorHAnsi" w:hAnsiTheme="minorHAnsi"/>
          <w:color w:val="1F497D" w:themeColor="text2"/>
          <w:sz w:val="22"/>
          <w:szCs w:val="22"/>
        </w:rPr>
        <w:t xml:space="preserve">as being </w:t>
      </w:r>
      <w:r w:rsidR="001A0DD1" w:rsidRPr="00741FD4">
        <w:rPr>
          <w:rFonts w:asciiTheme="minorHAnsi" w:hAnsiTheme="minorHAnsi"/>
          <w:color w:val="1F497D" w:themeColor="text2"/>
          <w:sz w:val="22"/>
          <w:szCs w:val="22"/>
        </w:rPr>
        <w:t xml:space="preserve">relatively well off, suggesting a capacity to pay for most </w:t>
      </w:r>
      <w:r w:rsidR="001D6E59" w:rsidRPr="00741FD4">
        <w:rPr>
          <w:rFonts w:asciiTheme="minorHAnsi" w:hAnsiTheme="minorHAnsi"/>
          <w:color w:val="1F497D" w:themeColor="text2"/>
          <w:sz w:val="22"/>
          <w:szCs w:val="22"/>
        </w:rPr>
        <w:t>residents. Given that a lower score indicates a higher level of disadvantage</w:t>
      </w:r>
      <w:r w:rsidR="00A52BAF">
        <w:rPr>
          <w:rFonts w:asciiTheme="minorHAnsi" w:hAnsiTheme="minorHAnsi"/>
          <w:color w:val="1F497D" w:themeColor="text2"/>
          <w:sz w:val="22"/>
          <w:szCs w:val="22"/>
        </w:rPr>
        <w:t>,</w:t>
      </w:r>
      <w:r w:rsidR="001D6E59" w:rsidRPr="00741FD4">
        <w:rPr>
          <w:rFonts w:asciiTheme="minorHAnsi" w:hAnsiTheme="minorHAnsi"/>
          <w:color w:val="1F497D" w:themeColor="text2"/>
          <w:sz w:val="22"/>
          <w:szCs w:val="22"/>
        </w:rPr>
        <w:t xml:space="preserve"> </w:t>
      </w:r>
      <w:r w:rsidR="00967B71" w:rsidRPr="00741FD4">
        <w:rPr>
          <w:rFonts w:asciiTheme="minorHAnsi" w:hAnsiTheme="minorHAnsi"/>
          <w:color w:val="1F497D" w:themeColor="text2"/>
          <w:sz w:val="22"/>
          <w:szCs w:val="22"/>
        </w:rPr>
        <w:t>with</w:t>
      </w:r>
      <w:r w:rsidR="00A52BAF">
        <w:rPr>
          <w:rFonts w:asciiTheme="minorHAnsi" w:hAnsiTheme="minorHAnsi"/>
          <w:color w:val="1F497D" w:themeColor="text2"/>
          <w:sz w:val="22"/>
          <w:szCs w:val="22"/>
        </w:rPr>
        <w:t>in</w:t>
      </w:r>
      <w:r w:rsidR="00967B71" w:rsidRPr="00741FD4">
        <w:rPr>
          <w:rFonts w:asciiTheme="minorHAnsi" w:hAnsiTheme="minorHAnsi"/>
          <w:color w:val="1F497D" w:themeColor="text2"/>
          <w:sz w:val="22"/>
          <w:szCs w:val="22"/>
        </w:rPr>
        <w:t xml:space="preserve"> the Group 10 Councils there </w:t>
      </w:r>
      <w:r w:rsidR="001D6E59" w:rsidRPr="00741FD4">
        <w:rPr>
          <w:rFonts w:asciiTheme="minorHAnsi" w:hAnsiTheme="minorHAnsi"/>
          <w:color w:val="1F497D" w:themeColor="text2"/>
          <w:sz w:val="22"/>
          <w:szCs w:val="22"/>
        </w:rPr>
        <w:t xml:space="preserve">are </w:t>
      </w:r>
      <w:r w:rsidR="00967B71" w:rsidRPr="00741FD4">
        <w:rPr>
          <w:rFonts w:asciiTheme="minorHAnsi" w:hAnsiTheme="minorHAnsi"/>
          <w:color w:val="1F497D" w:themeColor="text2"/>
          <w:sz w:val="22"/>
          <w:szCs w:val="22"/>
        </w:rPr>
        <w:t>6</w:t>
      </w:r>
      <w:r w:rsidR="001D6E59" w:rsidRPr="00741FD4">
        <w:rPr>
          <w:rFonts w:asciiTheme="minorHAnsi" w:hAnsiTheme="minorHAnsi"/>
          <w:color w:val="1F497D" w:themeColor="text2"/>
          <w:sz w:val="22"/>
          <w:szCs w:val="22"/>
        </w:rPr>
        <w:t xml:space="preserve"> LGAs with </w:t>
      </w:r>
      <w:r w:rsidR="00967B71" w:rsidRPr="00741FD4">
        <w:rPr>
          <w:rFonts w:asciiTheme="minorHAnsi" w:hAnsiTheme="minorHAnsi"/>
          <w:color w:val="1F497D" w:themeColor="text2"/>
          <w:sz w:val="22"/>
          <w:szCs w:val="22"/>
        </w:rPr>
        <w:t>a</w:t>
      </w:r>
      <w:r w:rsidR="001D6E59" w:rsidRPr="00741FD4">
        <w:rPr>
          <w:rFonts w:asciiTheme="minorHAnsi" w:hAnsiTheme="minorHAnsi"/>
          <w:color w:val="1F497D" w:themeColor="text2"/>
          <w:sz w:val="22"/>
          <w:szCs w:val="22"/>
        </w:rPr>
        <w:t xml:space="preserve"> higher </w:t>
      </w:r>
      <w:r w:rsidR="00967B71" w:rsidRPr="00741FD4">
        <w:rPr>
          <w:rFonts w:asciiTheme="minorHAnsi" w:hAnsiTheme="minorHAnsi"/>
          <w:color w:val="1F497D" w:themeColor="text2"/>
          <w:sz w:val="22"/>
          <w:szCs w:val="22"/>
        </w:rPr>
        <w:t xml:space="preserve">ranking i.e. less </w:t>
      </w:r>
      <w:r w:rsidR="00741FD4" w:rsidRPr="00741FD4">
        <w:rPr>
          <w:rFonts w:asciiTheme="minorHAnsi" w:hAnsiTheme="minorHAnsi"/>
          <w:color w:val="1F497D" w:themeColor="text2"/>
          <w:sz w:val="22"/>
          <w:szCs w:val="22"/>
        </w:rPr>
        <w:t>disadvantage. A</w:t>
      </w:r>
      <w:r w:rsidR="00967B71" w:rsidRPr="00741FD4">
        <w:rPr>
          <w:rFonts w:asciiTheme="minorHAnsi" w:hAnsiTheme="minorHAnsi"/>
          <w:color w:val="1F497D" w:themeColor="text2"/>
          <w:sz w:val="22"/>
          <w:szCs w:val="22"/>
        </w:rPr>
        <w:t xml:space="preserve"> table</w:t>
      </w:r>
      <w:r w:rsidR="001D6E59" w:rsidRPr="00741FD4">
        <w:rPr>
          <w:rFonts w:asciiTheme="minorHAnsi" w:hAnsiTheme="minorHAnsi"/>
          <w:color w:val="1F497D" w:themeColor="text2"/>
          <w:sz w:val="22"/>
          <w:szCs w:val="22"/>
        </w:rPr>
        <w:t xml:space="preserve"> </w:t>
      </w:r>
      <w:r w:rsidR="00741FD4" w:rsidRPr="00741FD4">
        <w:rPr>
          <w:rFonts w:asciiTheme="minorHAnsi" w:hAnsiTheme="minorHAnsi"/>
          <w:color w:val="1F497D" w:themeColor="text2"/>
          <w:sz w:val="22"/>
          <w:szCs w:val="22"/>
        </w:rPr>
        <w:t>showing comparison of the SEIFA index for Group 10 Councils is shown below.</w:t>
      </w:r>
      <w:r w:rsidR="001D6E59">
        <w:rPr>
          <w:rFonts w:asciiTheme="minorHAnsi" w:hAnsiTheme="minorHAnsi"/>
          <w:color w:val="1F497D" w:themeColor="text2"/>
          <w:sz w:val="22"/>
          <w:szCs w:val="22"/>
        </w:rPr>
        <w:t xml:space="preserve"> </w:t>
      </w:r>
    </w:p>
    <w:p w:rsidR="00C566B1" w:rsidRDefault="00C566B1" w:rsidP="00C566B1">
      <w:pPr>
        <w:pStyle w:val="Subtitle"/>
      </w:pPr>
      <w:r>
        <w:br w:type="page"/>
      </w:r>
    </w:p>
    <w:p w:rsidR="001A0DD1" w:rsidRDefault="001A0DD1" w:rsidP="00401182">
      <w:pPr>
        <w:pStyle w:val="BodyText"/>
        <w:spacing w:before="0"/>
        <w:rPr>
          <w:rFonts w:asciiTheme="minorHAnsi" w:hAnsiTheme="minorHAnsi"/>
          <w:color w:val="1F497D" w:themeColor="text2"/>
          <w:sz w:val="22"/>
          <w:szCs w:val="22"/>
        </w:rPr>
      </w:pPr>
    </w:p>
    <w:p w:rsidR="001A0DD1" w:rsidRDefault="00967B71" w:rsidP="00401182">
      <w:pPr>
        <w:pStyle w:val="BodyText"/>
        <w:spacing w:before="0"/>
        <w:rPr>
          <w:rFonts w:asciiTheme="minorHAnsi" w:hAnsiTheme="minorHAnsi"/>
          <w:color w:val="1F497D" w:themeColor="text2"/>
          <w:sz w:val="22"/>
          <w:szCs w:val="22"/>
        </w:rPr>
      </w:pPr>
      <w:r w:rsidRPr="00967B71">
        <w:rPr>
          <w:noProof/>
        </w:rPr>
        <w:drawing>
          <wp:inline distT="0" distB="0" distL="0" distR="0" wp14:anchorId="009B66FF" wp14:editId="64CAE441">
            <wp:extent cx="1876425" cy="393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6425" cy="3933825"/>
                    </a:xfrm>
                    <a:prstGeom prst="rect">
                      <a:avLst/>
                    </a:prstGeom>
                    <a:noFill/>
                    <a:ln>
                      <a:noFill/>
                    </a:ln>
                  </pic:spPr>
                </pic:pic>
              </a:graphicData>
            </a:graphic>
          </wp:inline>
        </w:drawing>
      </w:r>
      <w:r w:rsidR="00741FD4">
        <w:rPr>
          <w:rFonts w:asciiTheme="minorHAnsi" w:hAnsiTheme="minorHAnsi"/>
          <w:color w:val="1F497D" w:themeColor="text2"/>
          <w:sz w:val="22"/>
          <w:szCs w:val="22"/>
        </w:rPr>
        <w:t xml:space="preserve"> </w:t>
      </w:r>
    </w:p>
    <w:p w:rsidR="00DC1AE2" w:rsidRDefault="00DC1AE2" w:rsidP="00D56A05">
      <w:pPr>
        <w:pStyle w:val="BodyText"/>
        <w:spacing w:before="0"/>
        <w:rPr>
          <w:rFonts w:asciiTheme="minorHAnsi" w:hAnsiTheme="minorHAnsi"/>
          <w:color w:val="1F497D" w:themeColor="text2"/>
          <w:sz w:val="22"/>
          <w:szCs w:val="22"/>
        </w:rPr>
      </w:pPr>
    </w:p>
    <w:p w:rsidR="00ED6FF2" w:rsidRDefault="00ED6FF2" w:rsidP="00D56A05">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The following table is an excerpt from the Western Research Institute impact assessment. While based on </w:t>
      </w:r>
      <w:r w:rsidR="00F16D51">
        <w:rPr>
          <w:rFonts w:asciiTheme="minorHAnsi" w:hAnsiTheme="minorHAnsi"/>
          <w:color w:val="1F497D" w:themeColor="text2"/>
          <w:sz w:val="22"/>
          <w:szCs w:val="22"/>
        </w:rPr>
        <w:t xml:space="preserve">other models it reflects rates as proportion of household expenditure currently. This increase </w:t>
      </w:r>
      <w:r w:rsidR="00D56A05">
        <w:rPr>
          <w:rFonts w:asciiTheme="minorHAnsi" w:hAnsiTheme="minorHAnsi"/>
          <w:color w:val="1F497D" w:themeColor="text2"/>
          <w:sz w:val="22"/>
          <w:szCs w:val="22"/>
        </w:rPr>
        <w:t>is part of a longer term strategy that Council will consult with the community however the impact after seven years is not considered to be at the level of the Maintained Services model.</w:t>
      </w:r>
    </w:p>
    <w:p w:rsidR="00A37361" w:rsidRPr="003D4438" w:rsidRDefault="00A37361" w:rsidP="00400DDA">
      <w:pPr>
        <w:pStyle w:val="Standardbodytext"/>
        <w:ind w:right="0"/>
        <w:rPr>
          <w:b/>
          <w:color w:val="1F497D" w:themeColor="text2"/>
        </w:rPr>
      </w:pPr>
      <w:r>
        <w:rPr>
          <w:b/>
          <w:color w:val="1F497D" w:themeColor="text2"/>
        </w:rPr>
        <w:br w:type="page"/>
      </w:r>
      <w:r w:rsidRPr="003D4438">
        <w:rPr>
          <w:b/>
          <w:color w:val="1F497D" w:themeColor="text2"/>
        </w:rPr>
        <w:lastRenderedPageBreak/>
        <w:t>Rates as a proportion of total household expenditure in Blayney Shire and peer</w:t>
      </w:r>
      <w:r w:rsidR="00ED6FF2">
        <w:rPr>
          <w:b/>
          <w:color w:val="1F497D" w:themeColor="text2"/>
        </w:rPr>
        <w:t xml:space="preserve"> </w:t>
      </w:r>
      <w:r w:rsidRPr="003D4438">
        <w:rPr>
          <w:b/>
          <w:color w:val="1F497D" w:themeColor="text2"/>
        </w:rPr>
        <w:t>LGAs</w:t>
      </w:r>
    </w:p>
    <w:tbl>
      <w:tblPr>
        <w:tblStyle w:val="2013WRITable"/>
        <w:tblW w:w="79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10"/>
        <w:gridCol w:w="2126"/>
      </w:tblGrid>
      <w:tr w:rsidR="00A37361" w:rsidRPr="003D4438" w:rsidTr="00400DDA">
        <w:trPr>
          <w:cnfStyle w:val="100000000000" w:firstRow="1" w:lastRow="0" w:firstColumn="0" w:lastColumn="0" w:oddVBand="0" w:evenVBand="0" w:oddHBand="0"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A37361" w:rsidRPr="00332DC4" w:rsidRDefault="00A37361" w:rsidP="00CC2868">
            <w:pPr>
              <w:spacing w:before="0" w:beforeAutospacing="0" w:after="0" w:afterAutospacing="0"/>
              <w:rPr>
                <w:rFonts w:cs="Arial"/>
                <w:b/>
                <w:color w:val="1F497D" w:themeColor="text2"/>
                <w:sz w:val="20"/>
                <w:szCs w:val="20"/>
              </w:rPr>
            </w:pPr>
            <w:r w:rsidRPr="00332DC4">
              <w:rPr>
                <w:rFonts w:cs="Arial"/>
                <w:b/>
                <w:color w:val="1F497D" w:themeColor="text2"/>
                <w:sz w:val="20"/>
                <w:szCs w:val="20"/>
              </w:rPr>
              <w:t xml:space="preserve"> LGA</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A37361" w:rsidRPr="00332DC4" w:rsidRDefault="00A37361" w:rsidP="00CC2868">
            <w:pPr>
              <w:spacing w:before="0" w:beforeAutospacing="0" w:after="0" w:afterAutospacing="0"/>
              <w:jc w:val="right"/>
              <w:rPr>
                <w:rFonts w:cs="Arial"/>
                <w:b/>
                <w:color w:val="1F497D" w:themeColor="text2"/>
                <w:sz w:val="20"/>
                <w:szCs w:val="20"/>
              </w:rPr>
            </w:pPr>
            <w:r w:rsidRPr="00332DC4">
              <w:rPr>
                <w:rFonts w:cs="Arial"/>
                <w:b/>
                <w:color w:val="1F497D" w:themeColor="text2"/>
                <w:sz w:val="20"/>
                <w:szCs w:val="20"/>
              </w:rPr>
              <w:t>Current (2013-14)</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A37361" w:rsidRPr="00332DC4" w:rsidRDefault="00A37361" w:rsidP="00CC2868">
            <w:pPr>
              <w:spacing w:before="0" w:beforeAutospacing="0" w:after="0" w:afterAutospacing="0"/>
              <w:jc w:val="right"/>
              <w:rPr>
                <w:rFonts w:cs="Arial"/>
                <w:b/>
                <w:color w:val="1F497D" w:themeColor="text2"/>
                <w:sz w:val="20"/>
                <w:szCs w:val="20"/>
              </w:rPr>
            </w:pPr>
            <w:r w:rsidRPr="00332DC4">
              <w:rPr>
                <w:rFonts w:cs="Arial"/>
                <w:b/>
                <w:color w:val="1F497D" w:themeColor="text2"/>
                <w:sz w:val="20"/>
                <w:szCs w:val="20"/>
              </w:rPr>
              <w:t>After 7 years</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 </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 </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Bathurst Regional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1.01</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0.97</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Berrigan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1.13</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1.08</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Bland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0.85</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0.81</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ED6FF2" w:rsidRDefault="00A37361" w:rsidP="00CC2868">
            <w:pPr>
              <w:rPr>
                <w:b/>
                <w:color w:val="1F497D" w:themeColor="text2"/>
                <w:sz w:val="20"/>
                <w:szCs w:val="20"/>
              </w:rPr>
            </w:pPr>
            <w:r w:rsidRPr="00ED6FF2">
              <w:rPr>
                <w:b/>
                <w:color w:val="1F497D" w:themeColor="text2"/>
                <w:sz w:val="20"/>
                <w:szCs w:val="20"/>
              </w:rPr>
              <w:t>Blayney Shire Council</w:t>
            </w:r>
          </w:p>
        </w:tc>
        <w:tc>
          <w:tcPr>
            <w:tcW w:w="2410" w:type="dxa"/>
            <w:tcBorders>
              <w:top w:val="single" w:sz="4" w:space="0" w:color="auto"/>
              <w:bottom w:val="single" w:sz="4" w:space="0" w:color="auto"/>
            </w:tcBorders>
            <w:noWrap/>
            <w:vAlign w:val="center"/>
            <w:hideMark/>
          </w:tcPr>
          <w:p w:rsidR="00A37361" w:rsidRPr="00ED6FF2" w:rsidRDefault="00A37361" w:rsidP="00CC2868">
            <w:pPr>
              <w:rPr>
                <w:b/>
                <w:color w:val="1F497D" w:themeColor="text2"/>
                <w:sz w:val="20"/>
                <w:szCs w:val="20"/>
              </w:rPr>
            </w:pPr>
          </w:p>
        </w:tc>
        <w:tc>
          <w:tcPr>
            <w:tcW w:w="2126" w:type="dxa"/>
            <w:tcBorders>
              <w:top w:val="single" w:sz="4" w:space="0" w:color="auto"/>
              <w:bottom w:val="single" w:sz="4" w:space="0" w:color="auto"/>
              <w:right w:val="single" w:sz="4" w:space="0" w:color="auto"/>
            </w:tcBorders>
            <w:noWrap/>
            <w:vAlign w:val="center"/>
            <w:hideMark/>
          </w:tcPr>
          <w:p w:rsidR="00A37361" w:rsidRPr="00ED6FF2" w:rsidRDefault="00A37361" w:rsidP="00CC2868">
            <w:pPr>
              <w:rPr>
                <w:b/>
                <w:color w:val="1F497D" w:themeColor="text2"/>
                <w:sz w:val="20"/>
                <w:szCs w:val="20"/>
              </w:rPr>
            </w:pP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ED6FF2" w:rsidRDefault="00A37361" w:rsidP="00CC2868">
            <w:pPr>
              <w:rPr>
                <w:b/>
                <w:color w:val="1F497D" w:themeColor="text2"/>
                <w:sz w:val="20"/>
                <w:szCs w:val="20"/>
              </w:rPr>
            </w:pPr>
            <w:r w:rsidRPr="00ED6FF2">
              <w:rPr>
                <w:b/>
                <w:color w:val="1F497D" w:themeColor="text2"/>
                <w:sz w:val="20"/>
                <w:szCs w:val="20"/>
              </w:rPr>
              <w:t xml:space="preserve">    Maintained services plan</w:t>
            </w:r>
          </w:p>
        </w:tc>
        <w:tc>
          <w:tcPr>
            <w:tcW w:w="2410" w:type="dxa"/>
            <w:tcBorders>
              <w:top w:val="single" w:sz="4" w:space="0" w:color="auto"/>
              <w:bottom w:val="single" w:sz="4" w:space="0" w:color="auto"/>
            </w:tcBorders>
            <w:noWrap/>
            <w:vAlign w:val="center"/>
            <w:hideMark/>
          </w:tcPr>
          <w:p w:rsidR="00A37361" w:rsidRPr="00ED6FF2" w:rsidRDefault="00A37361" w:rsidP="00CC2868">
            <w:pPr>
              <w:jc w:val="right"/>
              <w:rPr>
                <w:b/>
                <w:color w:val="1F497D" w:themeColor="text2"/>
                <w:sz w:val="20"/>
                <w:szCs w:val="20"/>
              </w:rPr>
            </w:pPr>
            <w:r w:rsidRPr="00ED6FF2">
              <w:rPr>
                <w:b/>
                <w:color w:val="1F497D" w:themeColor="text2"/>
                <w:sz w:val="20"/>
                <w:szCs w:val="20"/>
              </w:rPr>
              <w:t>0.76</w:t>
            </w:r>
          </w:p>
        </w:tc>
        <w:tc>
          <w:tcPr>
            <w:tcW w:w="2126" w:type="dxa"/>
            <w:tcBorders>
              <w:top w:val="single" w:sz="4" w:space="0" w:color="auto"/>
              <w:bottom w:val="single" w:sz="4" w:space="0" w:color="auto"/>
              <w:right w:val="single" w:sz="4" w:space="0" w:color="auto"/>
            </w:tcBorders>
            <w:noWrap/>
            <w:vAlign w:val="center"/>
            <w:hideMark/>
          </w:tcPr>
          <w:p w:rsidR="00A37361" w:rsidRPr="00ED6FF2" w:rsidRDefault="00A37361" w:rsidP="00CC2868">
            <w:pPr>
              <w:jc w:val="right"/>
              <w:rPr>
                <w:b/>
                <w:color w:val="1F497D" w:themeColor="text2"/>
                <w:sz w:val="20"/>
                <w:szCs w:val="20"/>
              </w:rPr>
            </w:pPr>
            <w:r w:rsidRPr="00ED6FF2">
              <w:rPr>
                <w:b/>
                <w:color w:val="1F497D" w:themeColor="text2"/>
                <w:sz w:val="20"/>
                <w:szCs w:val="20"/>
              </w:rPr>
              <w:t>1.04</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ED6FF2" w:rsidRDefault="00A37361" w:rsidP="00CC2868">
            <w:pPr>
              <w:rPr>
                <w:b/>
                <w:color w:val="1F497D" w:themeColor="text2"/>
                <w:sz w:val="20"/>
                <w:szCs w:val="20"/>
              </w:rPr>
            </w:pPr>
            <w:r w:rsidRPr="00ED6FF2">
              <w:rPr>
                <w:b/>
                <w:color w:val="1F497D" w:themeColor="text2"/>
                <w:sz w:val="20"/>
                <w:szCs w:val="20"/>
              </w:rPr>
              <w:t xml:space="preserve">    Reduced services plan</w:t>
            </w:r>
          </w:p>
        </w:tc>
        <w:tc>
          <w:tcPr>
            <w:tcW w:w="2410" w:type="dxa"/>
            <w:tcBorders>
              <w:top w:val="single" w:sz="4" w:space="0" w:color="auto"/>
              <w:bottom w:val="single" w:sz="4" w:space="0" w:color="auto"/>
            </w:tcBorders>
            <w:noWrap/>
            <w:vAlign w:val="center"/>
            <w:hideMark/>
          </w:tcPr>
          <w:p w:rsidR="00A37361" w:rsidRPr="00ED6FF2" w:rsidRDefault="00A37361" w:rsidP="00CC2868">
            <w:pPr>
              <w:jc w:val="right"/>
              <w:rPr>
                <w:b/>
                <w:color w:val="1F497D" w:themeColor="text2"/>
                <w:sz w:val="20"/>
                <w:szCs w:val="20"/>
              </w:rPr>
            </w:pPr>
            <w:r w:rsidRPr="00ED6FF2">
              <w:rPr>
                <w:b/>
                <w:color w:val="1F497D" w:themeColor="text2"/>
                <w:sz w:val="20"/>
                <w:szCs w:val="20"/>
              </w:rPr>
              <w:t>0.76</w:t>
            </w:r>
          </w:p>
        </w:tc>
        <w:tc>
          <w:tcPr>
            <w:tcW w:w="2126" w:type="dxa"/>
            <w:tcBorders>
              <w:top w:val="single" w:sz="4" w:space="0" w:color="auto"/>
              <w:bottom w:val="single" w:sz="4" w:space="0" w:color="auto"/>
              <w:right w:val="single" w:sz="4" w:space="0" w:color="auto"/>
            </w:tcBorders>
            <w:noWrap/>
            <w:vAlign w:val="center"/>
            <w:hideMark/>
          </w:tcPr>
          <w:p w:rsidR="00A37361" w:rsidRPr="00ED6FF2" w:rsidRDefault="00A37361" w:rsidP="00CC2868">
            <w:pPr>
              <w:jc w:val="right"/>
              <w:rPr>
                <w:b/>
                <w:color w:val="1F497D" w:themeColor="text2"/>
                <w:sz w:val="20"/>
                <w:szCs w:val="20"/>
              </w:rPr>
            </w:pPr>
            <w:r w:rsidRPr="00ED6FF2">
              <w:rPr>
                <w:b/>
                <w:color w:val="1F497D" w:themeColor="text2"/>
                <w:sz w:val="20"/>
                <w:szCs w:val="20"/>
              </w:rPr>
              <w:t>0.55</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proofErr w:type="spellStart"/>
            <w:r w:rsidRPr="00332DC4">
              <w:rPr>
                <w:color w:val="1F497D" w:themeColor="text2"/>
                <w:sz w:val="20"/>
                <w:szCs w:val="20"/>
              </w:rPr>
              <w:t>Cabonne</w:t>
            </w:r>
            <w:proofErr w:type="spellEnd"/>
            <w:r w:rsidRPr="00332DC4">
              <w:rPr>
                <w:color w:val="1F497D" w:themeColor="text2"/>
                <w:sz w:val="20"/>
                <w:szCs w:val="20"/>
              </w:rPr>
              <w:t xml:space="preserve">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0.72</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0.69</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Cobar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0.48</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0.46</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Cootamundra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0.86</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0.83</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Cowra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0.69</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0.66</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Dungog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0.99</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0.95</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Forbes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1.08</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1.04</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Glen Innes Severn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0.98</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0.94</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Gloucester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0.90</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0.86</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Gwydir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1.99</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1.91</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Junee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0.69</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0.66</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Kyogle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1.17</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1.13</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Lachlan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0.73</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0.70</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Liverpool Plains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0.88</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0.84</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Murray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0.93</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0.89</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Narrandera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0.85</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0.82</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Narromine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0.85</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0.82</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Oberon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0.55</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0.53</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Orange City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1.23</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1.18</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Snowy River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0.78</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0.75</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Temora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0.79</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0.76</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Tenterfield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0.63</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0.60</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Upper Lachlan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0.68</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0.65</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Uralla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0.71</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0.68</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Walgett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0.45</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0.43</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Wellington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0.96</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0.92</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Wentworth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0.84</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0.80</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 </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 </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 </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Ranking of Blayney Shire Council</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 </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 </w:t>
            </w:r>
          </w:p>
        </w:tc>
      </w:tr>
      <w:tr w:rsidR="00ED6FF2" w:rsidRPr="003D4438" w:rsidTr="00400DDA">
        <w:trPr>
          <w:cnfStyle w:val="000000010000" w:firstRow="0" w:lastRow="0" w:firstColumn="0" w:lastColumn="0" w:oddVBand="0" w:evenVBand="0" w:oddHBand="0" w:evenHBand="1" w:firstRowFirstColumn="0" w:firstRowLastColumn="0" w:lastRowFirstColumn="0" w:lastRowLastColumn="0"/>
          <w:trHeight w:val="287"/>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 xml:space="preserve">     Maintained services plan</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20th highest</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5th highest</w:t>
            </w:r>
          </w:p>
        </w:tc>
      </w:tr>
      <w:tr w:rsidR="00ED6FF2" w:rsidRPr="003D4438" w:rsidTr="00400DDA">
        <w:trPr>
          <w:cnfStyle w:val="000000100000" w:firstRow="0" w:lastRow="0" w:firstColumn="0" w:lastColumn="0" w:oddVBand="0" w:evenVBand="0" w:oddHBand="1" w:evenHBand="0" w:firstRowFirstColumn="0" w:firstRowLastColumn="0" w:lastRowFirstColumn="0" w:lastRowLastColumn="0"/>
          <w:trHeight w:val="70"/>
        </w:trPr>
        <w:tc>
          <w:tcPr>
            <w:tcW w:w="3402" w:type="dxa"/>
            <w:tcBorders>
              <w:top w:val="single" w:sz="4" w:space="0" w:color="auto"/>
              <w:left w:val="single" w:sz="4" w:space="0" w:color="auto"/>
              <w:bottom w:val="single" w:sz="4" w:space="0" w:color="auto"/>
            </w:tcBorders>
            <w:noWrap/>
            <w:vAlign w:val="center"/>
            <w:hideMark/>
          </w:tcPr>
          <w:p w:rsidR="00A37361" w:rsidRPr="00332DC4" w:rsidRDefault="00A37361" w:rsidP="00CC2868">
            <w:pPr>
              <w:rPr>
                <w:color w:val="1F497D" w:themeColor="text2"/>
                <w:sz w:val="20"/>
                <w:szCs w:val="20"/>
              </w:rPr>
            </w:pPr>
            <w:r w:rsidRPr="00332DC4">
              <w:rPr>
                <w:color w:val="1F497D" w:themeColor="text2"/>
                <w:sz w:val="20"/>
                <w:szCs w:val="20"/>
              </w:rPr>
              <w:t xml:space="preserve">     Reduced services plan</w:t>
            </w:r>
          </w:p>
        </w:tc>
        <w:tc>
          <w:tcPr>
            <w:tcW w:w="2410" w:type="dxa"/>
            <w:tcBorders>
              <w:top w:val="single" w:sz="4" w:space="0" w:color="auto"/>
              <w:bottom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20th highest</w:t>
            </w:r>
          </w:p>
        </w:tc>
        <w:tc>
          <w:tcPr>
            <w:tcW w:w="2126" w:type="dxa"/>
            <w:tcBorders>
              <w:top w:val="single" w:sz="4" w:space="0" w:color="auto"/>
              <w:bottom w:val="single" w:sz="4" w:space="0" w:color="auto"/>
              <w:right w:val="single" w:sz="4" w:space="0" w:color="auto"/>
            </w:tcBorders>
            <w:noWrap/>
            <w:vAlign w:val="center"/>
            <w:hideMark/>
          </w:tcPr>
          <w:p w:rsidR="00A37361" w:rsidRPr="00332DC4" w:rsidRDefault="00A37361" w:rsidP="00CC2868">
            <w:pPr>
              <w:jc w:val="right"/>
              <w:rPr>
                <w:color w:val="1F497D" w:themeColor="text2"/>
                <w:sz w:val="20"/>
                <w:szCs w:val="20"/>
              </w:rPr>
            </w:pPr>
            <w:r w:rsidRPr="00332DC4">
              <w:rPr>
                <w:color w:val="1F497D" w:themeColor="text2"/>
                <w:sz w:val="20"/>
                <w:szCs w:val="20"/>
              </w:rPr>
              <w:t>27th highest</w:t>
            </w:r>
          </w:p>
        </w:tc>
      </w:tr>
    </w:tbl>
    <w:p w:rsidR="00A37361" w:rsidRPr="003D4438" w:rsidRDefault="00A37361" w:rsidP="00A37361">
      <w:pPr>
        <w:pStyle w:val="Footnotes"/>
        <w:rPr>
          <w:color w:val="1F497D" w:themeColor="text2"/>
          <w:sz w:val="20"/>
          <w:lang w:eastAsia="en-US"/>
        </w:rPr>
      </w:pPr>
      <w:r w:rsidRPr="003D4438">
        <w:rPr>
          <w:color w:val="1F497D" w:themeColor="text2"/>
          <w:sz w:val="20"/>
        </w:rPr>
        <w:tab/>
      </w:r>
      <w:r w:rsidRPr="003D4438">
        <w:rPr>
          <w:color w:val="1F497D" w:themeColor="text2"/>
          <w:sz w:val="20"/>
        </w:rPr>
        <w:tab/>
      </w:r>
    </w:p>
    <w:p w:rsidR="00A37361" w:rsidRDefault="00A37361" w:rsidP="00A37361">
      <w:pPr>
        <w:pStyle w:val="Footnotes"/>
        <w:ind w:left="284" w:hanging="284"/>
        <w:rPr>
          <w:color w:val="1F497D" w:themeColor="text2"/>
          <w:sz w:val="20"/>
        </w:rPr>
      </w:pPr>
      <w:r w:rsidRPr="003D4438">
        <w:rPr>
          <w:color w:val="1F497D" w:themeColor="text2"/>
          <w:sz w:val="20"/>
        </w:rPr>
        <w:t>(*) Assuming other LGAs increase their rates by 8.3% p.a. (i.e. by average rate increase permitted by IPART over 2011-2013). Several peer LGAs (such as Cobar and Junee) proposed rates increases in excess of this average.</w:t>
      </w:r>
    </w:p>
    <w:p w:rsidR="00830ECF" w:rsidRDefault="00830ECF">
      <w:pPr>
        <w:rPr>
          <w:rFonts w:ascii="Calibri" w:eastAsia="Calibri" w:hAnsi="Calibri" w:cs="Arial"/>
          <w:b/>
          <w:bCs/>
          <w:color w:val="1F4E78"/>
          <w:sz w:val="22"/>
          <w:szCs w:val="22"/>
        </w:rPr>
      </w:pPr>
      <w:r>
        <w:rPr>
          <w:rFonts w:ascii="Calibri" w:hAnsi="Calibri"/>
          <w:b/>
          <w:bCs/>
          <w:color w:val="1F4E78"/>
          <w:sz w:val="22"/>
          <w:szCs w:val="22"/>
        </w:rPr>
        <w:br w:type="page"/>
      </w:r>
    </w:p>
    <w:p w:rsidR="00A83E7A" w:rsidRDefault="00A83E7A" w:rsidP="00A37361">
      <w:pPr>
        <w:pStyle w:val="Footnotes"/>
        <w:ind w:left="284" w:hanging="284"/>
        <w:rPr>
          <w:color w:val="1F497D" w:themeColor="text2"/>
          <w:sz w:val="20"/>
        </w:rPr>
      </w:pPr>
      <w:r>
        <w:rPr>
          <w:rFonts w:ascii="Calibri" w:hAnsi="Calibri"/>
          <w:b/>
          <w:bCs/>
          <w:color w:val="1F4E78"/>
          <w:sz w:val="22"/>
          <w:szCs w:val="22"/>
        </w:rPr>
        <w:lastRenderedPageBreak/>
        <w:t>Group 10 comparative data on incomes, mortgages and rent</w:t>
      </w:r>
    </w:p>
    <w:p w:rsidR="00A83E7A" w:rsidRDefault="00A83E7A" w:rsidP="00A37361">
      <w:pPr>
        <w:pStyle w:val="Footnotes"/>
        <w:ind w:left="284" w:hanging="284"/>
        <w:rPr>
          <w:color w:val="1F497D" w:themeColor="text2"/>
          <w:sz w:val="20"/>
        </w:rPr>
      </w:pPr>
    </w:p>
    <w:p w:rsidR="00A83E7A" w:rsidRPr="003D4438" w:rsidRDefault="00A83E7A" w:rsidP="00A37361">
      <w:pPr>
        <w:pStyle w:val="Footnotes"/>
        <w:ind w:left="284" w:hanging="284"/>
        <w:rPr>
          <w:color w:val="1F497D" w:themeColor="text2"/>
          <w:sz w:val="20"/>
        </w:rPr>
      </w:pPr>
      <w:r w:rsidRPr="00A83E7A">
        <w:rPr>
          <w:noProof/>
        </w:rPr>
        <w:drawing>
          <wp:inline distT="0" distB="0" distL="0" distR="0" wp14:anchorId="56A3847A" wp14:editId="5A1E3315">
            <wp:extent cx="4819650" cy="586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9650" cy="5867400"/>
                    </a:xfrm>
                    <a:prstGeom prst="rect">
                      <a:avLst/>
                    </a:prstGeom>
                    <a:noFill/>
                    <a:ln>
                      <a:noFill/>
                    </a:ln>
                  </pic:spPr>
                </pic:pic>
              </a:graphicData>
            </a:graphic>
          </wp:inline>
        </w:drawing>
      </w:r>
    </w:p>
    <w:p w:rsidR="00A37361" w:rsidRDefault="00A37361">
      <w:pPr>
        <w:rPr>
          <w:rFonts w:ascii="Arial" w:hAnsi="Arial" w:cs="Arial"/>
          <w:b/>
          <w:color w:val="1F497D" w:themeColor="text2"/>
          <w:sz w:val="20"/>
          <w:szCs w:val="20"/>
        </w:rPr>
      </w:pPr>
    </w:p>
    <w:p w:rsidR="00A37361" w:rsidRDefault="00741FD4" w:rsidP="00401182">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INCOME AND RENTS</w:t>
      </w:r>
    </w:p>
    <w:p w:rsidR="00A37361" w:rsidRDefault="00741FD4" w:rsidP="00401182">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Of Group 10 Councils Blayney Shire has 3</w:t>
      </w:r>
      <w:r w:rsidRPr="00741FD4">
        <w:rPr>
          <w:rFonts w:asciiTheme="minorHAnsi" w:hAnsiTheme="minorHAnsi"/>
          <w:color w:val="1F497D" w:themeColor="text2"/>
          <w:sz w:val="22"/>
          <w:szCs w:val="22"/>
          <w:vertAlign w:val="superscript"/>
        </w:rPr>
        <w:t>rd</w:t>
      </w:r>
      <w:r>
        <w:rPr>
          <w:rFonts w:asciiTheme="minorHAnsi" w:hAnsiTheme="minorHAnsi"/>
          <w:color w:val="1F497D" w:themeColor="text2"/>
          <w:sz w:val="22"/>
          <w:szCs w:val="22"/>
        </w:rPr>
        <w:t xml:space="preserve"> highest median household income. This high income level can translate to capacity to pay. Blayney Shire has the </w:t>
      </w:r>
      <w:r w:rsidR="004B74FD">
        <w:rPr>
          <w:rFonts w:asciiTheme="minorHAnsi" w:hAnsiTheme="minorHAnsi"/>
          <w:color w:val="1F497D" w:themeColor="text2"/>
          <w:sz w:val="22"/>
          <w:szCs w:val="22"/>
        </w:rPr>
        <w:t>7</w:t>
      </w:r>
      <w:r w:rsidR="004B74FD" w:rsidRPr="004B74FD">
        <w:rPr>
          <w:rFonts w:asciiTheme="minorHAnsi" w:hAnsiTheme="minorHAnsi"/>
          <w:color w:val="1F497D" w:themeColor="text2"/>
          <w:sz w:val="22"/>
          <w:szCs w:val="22"/>
          <w:vertAlign w:val="superscript"/>
        </w:rPr>
        <w:t>th</w:t>
      </w:r>
      <w:r w:rsidR="004B74FD">
        <w:rPr>
          <w:rFonts w:asciiTheme="minorHAnsi" w:hAnsiTheme="minorHAnsi"/>
          <w:color w:val="1F497D" w:themeColor="text2"/>
          <w:sz w:val="22"/>
          <w:szCs w:val="22"/>
        </w:rPr>
        <w:t xml:space="preserve"> </w:t>
      </w:r>
      <w:r>
        <w:rPr>
          <w:rFonts w:asciiTheme="minorHAnsi" w:hAnsiTheme="minorHAnsi"/>
          <w:color w:val="1F497D" w:themeColor="text2"/>
          <w:sz w:val="22"/>
          <w:szCs w:val="22"/>
        </w:rPr>
        <w:t xml:space="preserve">highest median mortgage repayments </w:t>
      </w:r>
      <w:r w:rsidR="004B74FD">
        <w:rPr>
          <w:rFonts w:asciiTheme="minorHAnsi" w:hAnsiTheme="minorHAnsi"/>
          <w:color w:val="1F497D" w:themeColor="text2"/>
          <w:sz w:val="22"/>
          <w:szCs w:val="22"/>
        </w:rPr>
        <w:t>at $1,430 per month, however is low when compared to the state average, and are affordable when you factor the high income levels. Median weekly rents in Blayney Shire are the 7</w:t>
      </w:r>
      <w:r w:rsidR="004B74FD" w:rsidRPr="004B74FD">
        <w:rPr>
          <w:rFonts w:asciiTheme="minorHAnsi" w:hAnsiTheme="minorHAnsi"/>
          <w:color w:val="1F497D" w:themeColor="text2"/>
          <w:sz w:val="22"/>
          <w:szCs w:val="22"/>
          <w:vertAlign w:val="superscript"/>
        </w:rPr>
        <w:t>th</w:t>
      </w:r>
      <w:r w:rsidR="004B74FD">
        <w:rPr>
          <w:rFonts w:asciiTheme="minorHAnsi" w:hAnsiTheme="minorHAnsi"/>
          <w:color w:val="1F497D" w:themeColor="text2"/>
          <w:sz w:val="22"/>
          <w:szCs w:val="22"/>
        </w:rPr>
        <w:t xml:space="preserve"> highest of 26 LGAs in the group however given the rate rise is negligible it is not expected </w:t>
      </w:r>
      <w:r w:rsidR="00564F1A">
        <w:rPr>
          <w:rFonts w:asciiTheme="minorHAnsi" w:hAnsiTheme="minorHAnsi"/>
          <w:color w:val="1F497D" w:themeColor="text2"/>
          <w:sz w:val="22"/>
          <w:szCs w:val="22"/>
        </w:rPr>
        <w:t>to have</w:t>
      </w:r>
      <w:r w:rsidR="004B74FD">
        <w:rPr>
          <w:rFonts w:asciiTheme="minorHAnsi" w:hAnsiTheme="minorHAnsi"/>
          <w:color w:val="1F497D" w:themeColor="text2"/>
          <w:sz w:val="22"/>
          <w:szCs w:val="22"/>
        </w:rPr>
        <w:t xml:space="preserve"> a material impact. </w:t>
      </w:r>
    </w:p>
    <w:p w:rsidR="00600EF9" w:rsidRDefault="00600EF9" w:rsidP="00401182">
      <w:pPr>
        <w:pStyle w:val="BodyText"/>
        <w:spacing w:before="0"/>
        <w:rPr>
          <w:rFonts w:asciiTheme="minorHAnsi" w:hAnsiTheme="minorHAnsi"/>
          <w:color w:val="1F497D" w:themeColor="text2"/>
          <w:sz w:val="22"/>
          <w:szCs w:val="22"/>
        </w:rPr>
      </w:pPr>
    </w:p>
    <w:p w:rsidR="00600EF9" w:rsidRDefault="00F56F8E" w:rsidP="00401182">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AVERAGE RATES</w:t>
      </w:r>
    </w:p>
    <w:p w:rsidR="00F56F8E" w:rsidRDefault="00F56F8E" w:rsidP="00401182">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The table below shows the annual increase by rate category on the average rates over the two years. The increases to Residential and Business are considered reasonable. While the increase for Farmland is more than the other categories this is relative to the higher average rate</w:t>
      </w:r>
      <w:r w:rsidR="004475F1">
        <w:rPr>
          <w:rFonts w:asciiTheme="minorHAnsi" w:hAnsiTheme="minorHAnsi"/>
          <w:color w:val="1F497D" w:themeColor="text2"/>
          <w:sz w:val="22"/>
          <w:szCs w:val="22"/>
        </w:rPr>
        <w:t xml:space="preserve"> and is not considered unreasonable. Council is cognisant of Farmland being above other </w:t>
      </w:r>
      <w:r w:rsidR="004475F1">
        <w:rPr>
          <w:rFonts w:asciiTheme="minorHAnsi" w:hAnsiTheme="minorHAnsi"/>
          <w:color w:val="1F497D" w:themeColor="text2"/>
          <w:sz w:val="22"/>
          <w:szCs w:val="22"/>
        </w:rPr>
        <w:lastRenderedPageBreak/>
        <w:t>categories when compared to group 10 averages and is seeking to address this disparity in its long term strategy.</w:t>
      </w:r>
      <w:r w:rsidR="00E10A5A">
        <w:rPr>
          <w:rFonts w:asciiTheme="minorHAnsi" w:hAnsiTheme="minorHAnsi"/>
          <w:color w:val="1F497D" w:themeColor="text2"/>
          <w:sz w:val="22"/>
          <w:szCs w:val="22"/>
        </w:rPr>
        <w:t xml:space="preserve"> This table summarises that shown under Assessment criterion 3 (5.2).</w:t>
      </w:r>
    </w:p>
    <w:p w:rsidR="00F56F8E" w:rsidRDefault="00F56F8E" w:rsidP="00401182">
      <w:pPr>
        <w:pStyle w:val="BodyText"/>
        <w:spacing w:before="0"/>
        <w:rPr>
          <w:rFonts w:asciiTheme="minorHAnsi" w:hAnsiTheme="minorHAnsi"/>
          <w:color w:val="1F497D" w:themeColor="text2"/>
          <w:sz w:val="22"/>
          <w:szCs w:val="22"/>
        </w:rPr>
      </w:pPr>
    </w:p>
    <w:p w:rsidR="00F56F8E" w:rsidRDefault="00F56F8E" w:rsidP="00401182">
      <w:pPr>
        <w:pStyle w:val="BodyText"/>
        <w:spacing w:before="0"/>
        <w:rPr>
          <w:rFonts w:asciiTheme="minorHAnsi" w:hAnsiTheme="minorHAnsi"/>
          <w:color w:val="1F497D" w:themeColor="text2"/>
          <w:sz w:val="22"/>
          <w:szCs w:val="22"/>
        </w:rPr>
      </w:pPr>
    </w:p>
    <w:p w:rsidR="00600EF9" w:rsidRDefault="00F56F8E" w:rsidP="00401182">
      <w:pPr>
        <w:pStyle w:val="BodyText"/>
        <w:spacing w:before="0"/>
        <w:rPr>
          <w:rFonts w:asciiTheme="minorHAnsi" w:hAnsiTheme="minorHAnsi"/>
          <w:color w:val="1F497D" w:themeColor="text2"/>
          <w:sz w:val="22"/>
          <w:szCs w:val="22"/>
        </w:rPr>
      </w:pPr>
      <w:r w:rsidRPr="00F56F8E">
        <w:rPr>
          <w:noProof/>
        </w:rPr>
        <w:drawing>
          <wp:inline distT="0" distB="0" distL="0" distR="0" wp14:anchorId="539A82A5" wp14:editId="6992E1DC">
            <wp:extent cx="4552950" cy="5724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52950" cy="5724525"/>
                    </a:xfrm>
                    <a:prstGeom prst="rect">
                      <a:avLst/>
                    </a:prstGeom>
                    <a:noFill/>
                    <a:ln>
                      <a:noFill/>
                    </a:ln>
                  </pic:spPr>
                </pic:pic>
              </a:graphicData>
            </a:graphic>
          </wp:inline>
        </w:drawing>
      </w:r>
    </w:p>
    <w:p w:rsidR="00557838" w:rsidRDefault="0057731C" w:rsidP="005B4B3E">
      <w:pPr>
        <w:pStyle w:val="Heading1"/>
      </w:pPr>
      <w:bookmarkStart w:id="28" w:name="_Toc380956897"/>
      <w:r>
        <w:t>Assessment c</w:t>
      </w:r>
      <w:r w:rsidR="00B82030">
        <w:t xml:space="preserve">riterion 3: </w:t>
      </w:r>
      <w:r w:rsidR="000431EA">
        <w:t xml:space="preserve">  </w:t>
      </w:r>
      <w:r w:rsidR="00C95E68">
        <w:t>I</w:t>
      </w:r>
      <w:r w:rsidR="001E15EB" w:rsidRPr="00B17EC1">
        <w:t>mpact on ratepayers</w:t>
      </w:r>
      <w:bookmarkEnd w:id="28"/>
    </w:p>
    <w:p w:rsidR="00C056D2" w:rsidRPr="00B606B0" w:rsidRDefault="00CE0169" w:rsidP="00C056D2">
      <w:pPr>
        <w:pStyle w:val="BodyText"/>
        <w:spacing w:after="240"/>
      </w:pPr>
      <w:r>
        <w:t>In the DLG Guidelines, criterion 3 is</w:t>
      </w:r>
      <w:r w:rsidR="00C056D2">
        <w:t>:</w:t>
      </w:r>
    </w:p>
    <w:p w:rsidR="00600721" w:rsidRPr="003515CF" w:rsidRDefault="00600721" w:rsidP="003515CF">
      <w:pPr>
        <w:pStyle w:val="BodyText"/>
        <w:spacing w:before="0" w:line="276" w:lineRule="auto"/>
        <w:ind w:left="284"/>
        <w:rPr>
          <w:rFonts w:ascii="Arial" w:hAnsi="Arial" w:cs="Arial"/>
          <w:i/>
          <w:sz w:val="20"/>
          <w:szCs w:val="20"/>
        </w:rPr>
      </w:pPr>
      <w:r w:rsidRPr="003515CF">
        <w:rPr>
          <w:rFonts w:ascii="Arial" w:hAnsi="Arial" w:cs="Arial"/>
          <w:i/>
          <w:sz w:val="20"/>
          <w:szCs w:val="20"/>
        </w:rPr>
        <w:t>The impact on affected ratepayers must be reasonable, having regard to both the current rate levels, existing ratepayer base and the proposed purpose of the variation. Council’s IP&amp;R process should also establish that the proposed rate increases are affordable having regard to the local community’s capacity to pay.</w:t>
      </w:r>
    </w:p>
    <w:p w:rsidR="00897F4D" w:rsidRDefault="00897F4D" w:rsidP="00557838">
      <w:pPr>
        <w:pStyle w:val="BodyText"/>
      </w:pPr>
      <w:r>
        <w:t xml:space="preserve">We are required to assess whether the impact </w:t>
      </w:r>
      <w:r w:rsidR="00C9118D">
        <w:t xml:space="preserve">on ratepayers </w:t>
      </w:r>
      <w:r>
        <w:t xml:space="preserve">of </w:t>
      </w:r>
      <w:r w:rsidR="00C9118D">
        <w:t xml:space="preserve">the council’s </w:t>
      </w:r>
      <w:r>
        <w:t>pro</w:t>
      </w:r>
      <w:r w:rsidR="00C9118D">
        <w:t xml:space="preserve">posed special variation </w:t>
      </w:r>
      <w:r>
        <w:t>is reasonable.  To do this</w:t>
      </w:r>
      <w:r w:rsidR="00C9118D">
        <w:t>,</w:t>
      </w:r>
      <w:r>
        <w:t xml:space="preserve"> </w:t>
      </w:r>
      <w:r w:rsidRPr="00525B8C">
        <w:t xml:space="preserve">we </w:t>
      </w:r>
      <w:r w:rsidR="00C9118D" w:rsidRPr="00525B8C">
        <w:t xml:space="preserve">are required to take into account </w:t>
      </w:r>
      <w:r w:rsidR="003515CF" w:rsidRPr="00525B8C">
        <w:t xml:space="preserve">current rate </w:t>
      </w:r>
      <w:r w:rsidR="003515CF" w:rsidRPr="00525B8C">
        <w:lastRenderedPageBreak/>
        <w:t xml:space="preserve">levels, </w:t>
      </w:r>
      <w:r w:rsidR="00C9118D" w:rsidRPr="00525B8C">
        <w:t xml:space="preserve">the </w:t>
      </w:r>
      <w:r w:rsidR="003515CF" w:rsidRPr="00525B8C">
        <w:t>existing ratepayer base and the purpose of the special variation</w:t>
      </w:r>
      <w:r w:rsidR="00C056D2" w:rsidRPr="00525B8C">
        <w:t xml:space="preserve">. </w:t>
      </w:r>
      <w:r w:rsidR="00C9118D" w:rsidRPr="00525B8C">
        <w:t xml:space="preserve"> </w:t>
      </w:r>
      <w:r w:rsidR="00C056D2" w:rsidRPr="00525B8C">
        <w:t xml:space="preserve">We must also assess whether </w:t>
      </w:r>
      <w:r w:rsidR="00C9118D" w:rsidRPr="00525B8C">
        <w:t xml:space="preserve">the council’s </w:t>
      </w:r>
      <w:r w:rsidR="00C056D2" w:rsidRPr="00525B8C">
        <w:t>IP&amp;R process established that the community could afford the proposed rate rises.</w:t>
      </w:r>
    </w:p>
    <w:p w:rsidR="001E15EB" w:rsidRPr="00B17EC1" w:rsidRDefault="00C056D2" w:rsidP="00DF31B7">
      <w:pPr>
        <w:pStyle w:val="Heading2"/>
      </w:pPr>
      <w:bookmarkStart w:id="29" w:name="_Toc380956898"/>
      <w:r>
        <w:t>Impact on rates</w:t>
      </w:r>
      <w:bookmarkEnd w:id="29"/>
    </w:p>
    <w:p w:rsidR="00CD188B" w:rsidRPr="00FD6E96" w:rsidRDefault="00CD188B" w:rsidP="00CD188B">
      <w:pPr>
        <w:pStyle w:val="BodyText"/>
      </w:pPr>
      <w:r w:rsidRPr="00FD6E96">
        <w:t xml:space="preserve">Much of the quantitative information we need on the impact of the special variation on rate levels will already be contained in Worksheet 5 of Part A of the </w:t>
      </w:r>
      <w:r w:rsidR="00544B38" w:rsidRPr="00FD6E96">
        <w:t xml:space="preserve">application. </w:t>
      </w:r>
    </w:p>
    <w:p w:rsidR="00CD188B" w:rsidRPr="00FD6E96" w:rsidRDefault="00CD188B" w:rsidP="00CD188B">
      <w:pPr>
        <w:pStyle w:val="BodyText"/>
      </w:pPr>
      <w:r w:rsidRPr="00FD6E96">
        <w:t xml:space="preserve">To assist us further, the application should set out the rating structure under the proposed special variation, and how this differs from the current rating structure, </w:t>
      </w:r>
      <w:r w:rsidR="00FD6E96">
        <w:t>which</w:t>
      </w:r>
      <w:r w:rsidRPr="00FD6E96">
        <w:t xml:space="preserve"> would apply if the special variation is not approved.  </w:t>
      </w:r>
    </w:p>
    <w:p w:rsidR="00CD188B" w:rsidRDefault="00544B38" w:rsidP="00CD188B">
      <w:pPr>
        <w:pStyle w:val="BodyText"/>
      </w:pPr>
      <w:r w:rsidRPr="00FD6E96">
        <w:t>W</w:t>
      </w:r>
      <w:r w:rsidR="00CD188B" w:rsidRPr="00FD6E96">
        <w:t xml:space="preserve">e recognise that a council </w:t>
      </w:r>
      <w:r w:rsidR="00505A9D" w:rsidRPr="00FD6E96">
        <w:t xml:space="preserve">may </w:t>
      </w:r>
      <w:r w:rsidR="00646350" w:rsidRPr="00FD6E96">
        <w:t xml:space="preserve">choose to apply </w:t>
      </w:r>
      <w:r w:rsidR="00D770D4" w:rsidRPr="00FD6E96">
        <w:t xml:space="preserve">an </w:t>
      </w:r>
      <w:r w:rsidR="00646350" w:rsidRPr="00FD6E96">
        <w:t>increase differentially among categories of ratepayers</w:t>
      </w:r>
      <w:r w:rsidRPr="00FD6E96">
        <w:t>.  However, y</w:t>
      </w:r>
      <w:r w:rsidR="00CD188B" w:rsidRPr="00FD6E96">
        <w:t xml:space="preserve">ou should explain the rationale for applying the increase differentially among </w:t>
      </w:r>
      <w:r w:rsidRPr="00FD6E96">
        <w:t>different</w:t>
      </w:r>
      <w:r w:rsidR="00CD188B" w:rsidRPr="00FD6E96">
        <w:t xml:space="preserve"> categories and/or subcategories of ratepayers</w:t>
      </w:r>
      <w:r w:rsidRPr="00FD6E96">
        <w:t xml:space="preserve">, particularly in light of the purpose of the special variation.  This will be </w:t>
      </w:r>
      <w:r w:rsidR="00CD188B" w:rsidRPr="00FD6E96">
        <w:t xml:space="preserve">relevant to </w:t>
      </w:r>
      <w:r w:rsidRPr="00FD6E96">
        <w:t xml:space="preserve">our assessment of </w:t>
      </w:r>
      <w:r w:rsidR="00CD188B" w:rsidRPr="00FD6E96">
        <w:t>the reasonableness of the impact on ratepayers.</w:t>
      </w:r>
    </w:p>
    <w:p w:rsidR="00A52BAF" w:rsidRDefault="00A52BAF" w:rsidP="008D7C80">
      <w:pPr>
        <w:rPr>
          <w:rFonts w:asciiTheme="minorHAnsi" w:hAnsiTheme="minorHAnsi"/>
          <w:b/>
          <w:color w:val="1F497D" w:themeColor="text2"/>
          <w:sz w:val="22"/>
          <w:szCs w:val="22"/>
        </w:rPr>
      </w:pPr>
    </w:p>
    <w:p w:rsidR="008D7C80" w:rsidRPr="008D7C80" w:rsidRDefault="008D7C80" w:rsidP="008D7C80">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3645D4" w:rsidRDefault="008D7C80" w:rsidP="008D7C80">
      <w:pPr>
        <w:pStyle w:val="BodyText"/>
        <w:spacing w:before="0"/>
        <w:rPr>
          <w:rFonts w:asciiTheme="minorHAnsi" w:hAnsiTheme="minorHAnsi"/>
          <w:color w:val="1F497D" w:themeColor="text2"/>
          <w:sz w:val="22"/>
          <w:szCs w:val="22"/>
        </w:rPr>
      </w:pPr>
      <w:r w:rsidRPr="008D7C80">
        <w:rPr>
          <w:rFonts w:asciiTheme="minorHAnsi" w:hAnsiTheme="minorHAnsi"/>
          <w:color w:val="1F497D" w:themeColor="text2"/>
          <w:sz w:val="22"/>
          <w:szCs w:val="22"/>
        </w:rPr>
        <w:t>Council has</w:t>
      </w:r>
      <w:r w:rsidR="00DD6766">
        <w:rPr>
          <w:rFonts w:asciiTheme="minorHAnsi" w:hAnsiTheme="minorHAnsi"/>
          <w:color w:val="1F497D" w:themeColor="text2"/>
          <w:sz w:val="22"/>
          <w:szCs w:val="22"/>
        </w:rPr>
        <w:t xml:space="preserve"> sought to apply the proposed special variation </w:t>
      </w:r>
      <w:r w:rsidR="003645D4">
        <w:rPr>
          <w:rFonts w:asciiTheme="minorHAnsi" w:hAnsiTheme="minorHAnsi"/>
          <w:color w:val="1F497D" w:themeColor="text2"/>
          <w:sz w:val="22"/>
          <w:szCs w:val="22"/>
        </w:rPr>
        <w:t xml:space="preserve">across categories equally i.e. 6% p.a. over two years on all rate categories excluding existing special rate variations. </w:t>
      </w:r>
    </w:p>
    <w:p w:rsidR="003645D4" w:rsidRDefault="003645D4" w:rsidP="008D7C80">
      <w:pPr>
        <w:pStyle w:val="BodyText"/>
        <w:spacing w:before="0"/>
        <w:rPr>
          <w:rFonts w:asciiTheme="minorHAnsi" w:hAnsiTheme="minorHAnsi"/>
          <w:color w:val="1F497D" w:themeColor="text2"/>
          <w:sz w:val="22"/>
          <w:szCs w:val="22"/>
        </w:rPr>
      </w:pPr>
    </w:p>
    <w:p w:rsidR="003645D4" w:rsidRDefault="003645D4"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Special rate variations </w:t>
      </w:r>
      <w:r w:rsidR="00276E1B">
        <w:rPr>
          <w:rFonts w:asciiTheme="minorHAnsi" w:hAnsiTheme="minorHAnsi"/>
          <w:color w:val="1F497D" w:themeColor="text2"/>
          <w:sz w:val="22"/>
          <w:szCs w:val="22"/>
        </w:rPr>
        <w:t>in</w:t>
      </w:r>
      <w:r w:rsidR="00015FBF">
        <w:rPr>
          <w:rFonts w:asciiTheme="minorHAnsi" w:hAnsiTheme="minorHAnsi"/>
          <w:color w:val="1F497D" w:themeColor="text2"/>
          <w:sz w:val="22"/>
          <w:szCs w:val="22"/>
        </w:rPr>
        <w:t xml:space="preserve"> place are as follows:  </w:t>
      </w:r>
    </w:p>
    <w:p w:rsidR="00015FBF" w:rsidRDefault="00D07F98" w:rsidP="00316A5C">
      <w:pPr>
        <w:pStyle w:val="BodyText"/>
        <w:numPr>
          <w:ilvl w:val="0"/>
          <w:numId w:val="47"/>
        </w:numPr>
        <w:spacing w:before="0"/>
        <w:rPr>
          <w:rFonts w:asciiTheme="minorHAnsi" w:hAnsiTheme="minorHAnsi"/>
          <w:color w:val="1F497D" w:themeColor="text2"/>
          <w:sz w:val="22"/>
          <w:szCs w:val="22"/>
        </w:rPr>
      </w:pPr>
      <w:r>
        <w:rPr>
          <w:rFonts w:asciiTheme="minorHAnsi" w:hAnsiTheme="minorHAnsi"/>
          <w:color w:val="1F497D" w:themeColor="text2"/>
          <w:sz w:val="22"/>
          <w:szCs w:val="22"/>
        </w:rPr>
        <w:t>Community Centre Special Variation $275,250. This value has remained fixed as Council has sought not to apply rate-peg increases to this figure in past years.</w:t>
      </w:r>
      <w:r w:rsidR="00826945">
        <w:rPr>
          <w:rFonts w:asciiTheme="minorHAnsi" w:hAnsiTheme="minorHAnsi"/>
          <w:color w:val="1F497D" w:themeColor="text2"/>
          <w:sz w:val="22"/>
          <w:szCs w:val="22"/>
        </w:rPr>
        <w:t xml:space="preserve"> This is apportioned equally across all assessments in all categories.</w:t>
      </w:r>
    </w:p>
    <w:p w:rsidR="00D07F98" w:rsidRDefault="00D07F98" w:rsidP="00316A5C">
      <w:pPr>
        <w:pStyle w:val="BodyText"/>
        <w:numPr>
          <w:ilvl w:val="0"/>
          <w:numId w:val="47"/>
        </w:numPr>
        <w:spacing w:before="0"/>
        <w:rPr>
          <w:rFonts w:asciiTheme="minorHAnsi" w:hAnsiTheme="minorHAnsi"/>
          <w:color w:val="1F497D" w:themeColor="text2"/>
          <w:sz w:val="22"/>
          <w:szCs w:val="22"/>
        </w:rPr>
      </w:pPr>
      <w:r>
        <w:rPr>
          <w:rFonts w:asciiTheme="minorHAnsi" w:hAnsiTheme="minorHAnsi"/>
          <w:color w:val="1F497D" w:themeColor="text2"/>
          <w:sz w:val="22"/>
          <w:szCs w:val="22"/>
        </w:rPr>
        <w:t>Mining Category Special Variation  $1,657,701</w:t>
      </w:r>
    </w:p>
    <w:p w:rsidR="00D07F98" w:rsidRDefault="00D07F98" w:rsidP="008D7C80">
      <w:pPr>
        <w:pStyle w:val="BodyText"/>
        <w:spacing w:before="0"/>
        <w:rPr>
          <w:rFonts w:asciiTheme="minorHAnsi" w:hAnsiTheme="minorHAnsi"/>
          <w:color w:val="1F497D" w:themeColor="text2"/>
          <w:sz w:val="22"/>
          <w:szCs w:val="22"/>
        </w:rPr>
      </w:pPr>
    </w:p>
    <w:p w:rsidR="00450F34" w:rsidRDefault="00826945"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The special rate variation </w:t>
      </w:r>
      <w:r w:rsidR="003645D4">
        <w:rPr>
          <w:rFonts w:asciiTheme="minorHAnsi" w:hAnsiTheme="minorHAnsi"/>
          <w:color w:val="1F497D" w:themeColor="text2"/>
          <w:sz w:val="22"/>
          <w:szCs w:val="22"/>
        </w:rPr>
        <w:t xml:space="preserve">will see </w:t>
      </w:r>
      <w:r w:rsidR="00276E1B">
        <w:rPr>
          <w:rFonts w:asciiTheme="minorHAnsi" w:hAnsiTheme="minorHAnsi"/>
          <w:color w:val="1F497D" w:themeColor="text2"/>
          <w:sz w:val="22"/>
          <w:szCs w:val="22"/>
        </w:rPr>
        <w:t>the net impact on the residential, farmland and business categories be</w:t>
      </w:r>
      <w:r w:rsidR="00015FBF">
        <w:rPr>
          <w:rFonts w:asciiTheme="minorHAnsi" w:hAnsiTheme="minorHAnsi"/>
          <w:color w:val="1F497D" w:themeColor="text2"/>
          <w:sz w:val="22"/>
          <w:szCs w:val="22"/>
        </w:rPr>
        <w:t>ing slightly below the 6% proposed due to the impact of the Community Centre Special variation. The net impact on the Mining category will be significantly less due to the special variation in place upon this category.</w:t>
      </w:r>
    </w:p>
    <w:p w:rsidR="00CC2868" w:rsidRDefault="00CC2868" w:rsidP="008D7C80">
      <w:pPr>
        <w:pStyle w:val="BodyText"/>
        <w:spacing w:before="0"/>
        <w:rPr>
          <w:rFonts w:asciiTheme="minorHAnsi" w:hAnsiTheme="minorHAnsi"/>
          <w:color w:val="1F497D" w:themeColor="text2"/>
          <w:sz w:val="22"/>
          <w:szCs w:val="22"/>
        </w:rPr>
      </w:pPr>
    </w:p>
    <w:p w:rsidR="004E2875" w:rsidRDefault="004E2875"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A</w:t>
      </w:r>
      <w:r w:rsidR="00471335">
        <w:rPr>
          <w:rFonts w:asciiTheme="minorHAnsi" w:hAnsiTheme="minorHAnsi"/>
          <w:color w:val="1F497D" w:themeColor="text2"/>
          <w:sz w:val="22"/>
          <w:szCs w:val="22"/>
        </w:rPr>
        <w:t>t</w:t>
      </w:r>
      <w:r>
        <w:rPr>
          <w:rFonts w:asciiTheme="minorHAnsi" w:hAnsiTheme="minorHAnsi"/>
          <w:color w:val="1F497D" w:themeColor="text2"/>
          <w:sz w:val="22"/>
          <w:szCs w:val="22"/>
        </w:rPr>
        <w:t xml:space="preserve"> the meeting with NSW Farmers</w:t>
      </w:r>
      <w:r w:rsidR="00471335">
        <w:rPr>
          <w:rFonts w:asciiTheme="minorHAnsi" w:hAnsiTheme="minorHAnsi"/>
          <w:color w:val="1F497D" w:themeColor="text2"/>
          <w:sz w:val="22"/>
          <w:szCs w:val="22"/>
        </w:rPr>
        <w:t xml:space="preserve"> it was </w:t>
      </w:r>
      <w:r>
        <w:rPr>
          <w:rFonts w:asciiTheme="minorHAnsi" w:hAnsiTheme="minorHAnsi"/>
          <w:color w:val="1F497D" w:themeColor="text2"/>
          <w:sz w:val="22"/>
          <w:szCs w:val="22"/>
        </w:rPr>
        <w:t>requested Council undertake a rev</w:t>
      </w:r>
      <w:r w:rsidR="00471335">
        <w:rPr>
          <w:rFonts w:asciiTheme="minorHAnsi" w:hAnsiTheme="minorHAnsi"/>
          <w:color w:val="1F497D" w:themeColor="text2"/>
          <w:sz w:val="22"/>
          <w:szCs w:val="22"/>
        </w:rPr>
        <w:t xml:space="preserve">iew of base rates. Council has undertaken a review however this has not been finalised at the time of application lodgement. The issues raised at this meeting related to this sector paying very high rural rates in comparison to adjoining councils. </w:t>
      </w:r>
    </w:p>
    <w:p w:rsidR="003075FE" w:rsidRDefault="003075FE" w:rsidP="008D7C80">
      <w:pPr>
        <w:pStyle w:val="BodyText"/>
        <w:spacing w:before="0"/>
        <w:rPr>
          <w:rFonts w:asciiTheme="minorHAnsi" w:hAnsiTheme="minorHAnsi"/>
          <w:color w:val="1F497D" w:themeColor="text2"/>
          <w:sz w:val="22"/>
          <w:szCs w:val="22"/>
        </w:rPr>
      </w:pPr>
    </w:p>
    <w:p w:rsidR="00901E22" w:rsidRDefault="00CC2868" w:rsidP="008D7C80">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 xml:space="preserve">Council is reviewing its rating structure to consolidate </w:t>
      </w:r>
      <w:r w:rsidR="00286F7C">
        <w:rPr>
          <w:rFonts w:asciiTheme="minorHAnsi" w:hAnsiTheme="minorHAnsi"/>
          <w:color w:val="1F497D" w:themeColor="text2"/>
          <w:sz w:val="22"/>
          <w:szCs w:val="22"/>
        </w:rPr>
        <w:t xml:space="preserve">rating </w:t>
      </w:r>
      <w:r>
        <w:rPr>
          <w:rFonts w:asciiTheme="minorHAnsi" w:hAnsiTheme="minorHAnsi"/>
          <w:color w:val="1F497D" w:themeColor="text2"/>
          <w:sz w:val="22"/>
          <w:szCs w:val="22"/>
        </w:rPr>
        <w:t>s</w:t>
      </w:r>
      <w:r w:rsidR="00286F7C">
        <w:rPr>
          <w:rFonts w:asciiTheme="minorHAnsi" w:hAnsiTheme="minorHAnsi"/>
          <w:color w:val="1F497D" w:themeColor="text2"/>
          <w:sz w:val="22"/>
          <w:szCs w:val="22"/>
        </w:rPr>
        <w:t>u</w:t>
      </w:r>
      <w:r>
        <w:rPr>
          <w:rFonts w:asciiTheme="minorHAnsi" w:hAnsiTheme="minorHAnsi"/>
          <w:color w:val="1F497D" w:themeColor="text2"/>
          <w:sz w:val="22"/>
          <w:szCs w:val="22"/>
        </w:rPr>
        <w:t xml:space="preserve">b-categories and particularly focus on its base rates to address the </w:t>
      </w:r>
      <w:r w:rsidR="00286F7C">
        <w:rPr>
          <w:rFonts w:asciiTheme="minorHAnsi" w:hAnsiTheme="minorHAnsi"/>
          <w:color w:val="1F497D" w:themeColor="text2"/>
          <w:sz w:val="22"/>
          <w:szCs w:val="22"/>
        </w:rPr>
        <w:t xml:space="preserve">disparities that exists with </w:t>
      </w:r>
      <w:r>
        <w:rPr>
          <w:rFonts w:asciiTheme="minorHAnsi" w:hAnsiTheme="minorHAnsi"/>
          <w:color w:val="1F497D" w:themeColor="text2"/>
          <w:sz w:val="22"/>
          <w:szCs w:val="22"/>
        </w:rPr>
        <w:t>highs and lows with</w:t>
      </w:r>
      <w:r w:rsidR="00286F7C">
        <w:rPr>
          <w:rFonts w:asciiTheme="minorHAnsi" w:hAnsiTheme="minorHAnsi"/>
          <w:color w:val="1F497D" w:themeColor="text2"/>
          <w:sz w:val="22"/>
          <w:szCs w:val="22"/>
        </w:rPr>
        <w:t>in</w:t>
      </w:r>
      <w:r>
        <w:rPr>
          <w:rFonts w:asciiTheme="minorHAnsi" w:hAnsiTheme="minorHAnsi"/>
          <w:color w:val="1F497D" w:themeColor="text2"/>
          <w:sz w:val="22"/>
          <w:szCs w:val="22"/>
        </w:rPr>
        <w:t xml:space="preserve"> rating categories. This is particularly </w:t>
      </w:r>
      <w:r w:rsidR="00286F7C">
        <w:rPr>
          <w:rFonts w:asciiTheme="minorHAnsi" w:hAnsiTheme="minorHAnsi"/>
          <w:color w:val="1F497D" w:themeColor="text2"/>
          <w:sz w:val="22"/>
          <w:szCs w:val="22"/>
        </w:rPr>
        <w:t>in response concerns raised by the community at meetings held as part of the consultation program.</w:t>
      </w:r>
    </w:p>
    <w:p w:rsidR="00901E22" w:rsidRDefault="00901E22" w:rsidP="00901E22">
      <w:pPr>
        <w:pStyle w:val="Subtitle"/>
      </w:pPr>
      <w:r>
        <w:br w:type="page"/>
      </w:r>
    </w:p>
    <w:p w:rsidR="00C60E17" w:rsidRPr="00B17EC1" w:rsidRDefault="008D7A70" w:rsidP="008D7A70">
      <w:pPr>
        <w:pStyle w:val="Heading3"/>
      </w:pPr>
      <w:r w:rsidRPr="00B17EC1">
        <w:lastRenderedPageBreak/>
        <w:t>Minimum Rates</w:t>
      </w:r>
    </w:p>
    <w:p w:rsidR="00E44290" w:rsidRPr="005F72FF" w:rsidRDefault="00E44290" w:rsidP="005F72FF">
      <w:pPr>
        <w:pStyle w:val="BodyText"/>
      </w:pPr>
      <w:r w:rsidRPr="005F72FF">
        <w:t>The special variation may a</w:t>
      </w:r>
      <w:r w:rsidR="005F72FF" w:rsidRPr="005F72FF">
        <w:t>ffect</w:t>
      </w:r>
      <w:r w:rsidRPr="005F72FF">
        <w:t xml:space="preserve"> ordinary</w:t>
      </w:r>
      <w:r w:rsidR="005F72FF">
        <w:t xml:space="preserve"> rates, special rates</w:t>
      </w:r>
      <w:r w:rsidRPr="005F72FF">
        <w:t xml:space="preserve"> and minimum rates</w:t>
      </w:r>
      <w:r w:rsidR="005F72FF" w:rsidRPr="005F72FF">
        <w:t>.</w:t>
      </w:r>
    </w:p>
    <w:p w:rsidR="00C60E17" w:rsidRPr="00B17EC1" w:rsidRDefault="00C60E17" w:rsidP="00C60E17">
      <w:pPr>
        <w:pStyle w:val="BodyText"/>
        <w:rPr>
          <w:rFonts w:ascii="Myriad Pro" w:hAnsi="Myriad Pro"/>
          <w:sz w:val="24"/>
        </w:rPr>
      </w:pPr>
      <w:r w:rsidRPr="00B17EC1">
        <w:t xml:space="preserve">Does </w:t>
      </w:r>
      <w:r w:rsidR="002C54BE">
        <w:t>the c</w:t>
      </w:r>
      <w:r w:rsidRPr="00B17EC1">
        <w:t xml:space="preserve">ouncil have minimum rates? </w:t>
      </w:r>
      <w:r w:rsidRPr="00B17EC1">
        <w:tab/>
      </w:r>
      <w:r w:rsidRPr="00B17EC1">
        <w:tab/>
      </w:r>
      <w:r w:rsidRPr="00B17EC1">
        <w:tab/>
      </w:r>
      <w:r w:rsidRPr="00B17EC1">
        <w:tab/>
      </w:r>
      <w:r w:rsidRPr="00B17EC1">
        <w:tab/>
      </w:r>
      <w:r w:rsidRPr="00B17EC1">
        <w:tab/>
      </w:r>
      <w:r w:rsidRPr="00B17EC1">
        <w:tab/>
      </w:r>
      <w:r w:rsidRPr="00B17EC1">
        <w:tab/>
      </w:r>
      <w:r w:rsidR="00E57DC5" w:rsidRPr="00B17EC1">
        <w:t xml:space="preserve">  </w:t>
      </w:r>
      <w:r w:rsidR="00C270CC" w:rsidRPr="00B17EC1">
        <w:t xml:space="preserve">           </w:t>
      </w:r>
      <w:r w:rsidR="00E57DC5" w:rsidRPr="00B17EC1">
        <w:t xml:space="preserve">Yes </w:t>
      </w:r>
      <w:r w:rsidR="00E57DC5" w:rsidRPr="00B17EC1">
        <w:fldChar w:fldCharType="begin">
          <w:ffData>
            <w:name w:val="Check6"/>
            <w:enabled/>
            <w:calcOnExit w:val="0"/>
            <w:checkBox>
              <w:sizeAuto/>
              <w:default w:val="0"/>
            </w:checkBox>
          </w:ffData>
        </w:fldChar>
      </w:r>
      <w:r w:rsidR="00E57DC5" w:rsidRPr="00B17EC1">
        <w:instrText xml:space="preserve"> FORMCHECKBOX </w:instrText>
      </w:r>
      <w:r w:rsidR="004B36A1">
        <w:fldChar w:fldCharType="separate"/>
      </w:r>
      <w:r w:rsidR="00E57DC5" w:rsidRPr="00B17EC1">
        <w:fldChar w:fldCharType="end"/>
      </w:r>
      <w:r w:rsidR="00C270CC" w:rsidRPr="00B17EC1">
        <w:t xml:space="preserve">   </w:t>
      </w:r>
      <w:r w:rsidR="00E57DC5" w:rsidRPr="00B17EC1">
        <w:t xml:space="preserve">  No </w:t>
      </w:r>
      <w:r w:rsidR="00115AAE">
        <w:fldChar w:fldCharType="begin">
          <w:ffData>
            <w:name w:val=""/>
            <w:enabled/>
            <w:calcOnExit w:val="0"/>
            <w:checkBox>
              <w:sizeAuto/>
              <w:default w:val="1"/>
            </w:checkBox>
          </w:ffData>
        </w:fldChar>
      </w:r>
      <w:r w:rsidR="00115AAE">
        <w:instrText xml:space="preserve"> FORMCHECKBOX </w:instrText>
      </w:r>
      <w:r w:rsidR="004B36A1">
        <w:fldChar w:fldCharType="separate"/>
      </w:r>
      <w:r w:rsidR="00115AAE">
        <w:fldChar w:fldCharType="end"/>
      </w:r>
    </w:p>
    <w:p w:rsidR="005B2795" w:rsidRDefault="002C54BE" w:rsidP="002C54BE">
      <w:pPr>
        <w:pStyle w:val="BodyText"/>
      </w:pPr>
      <w:r>
        <w:t xml:space="preserve">If </w:t>
      </w:r>
      <w:proofErr w:type="gramStart"/>
      <w:r w:rsidRPr="00922DA8">
        <w:rPr>
          <w:i/>
        </w:rPr>
        <w:t>Yes</w:t>
      </w:r>
      <w:proofErr w:type="gramEnd"/>
      <w:r>
        <w:t xml:space="preserve">, </w:t>
      </w:r>
      <w:r w:rsidR="00F80E4D">
        <w:t xml:space="preserve">explain how </w:t>
      </w:r>
      <w:r w:rsidR="005B2795">
        <w:t xml:space="preserve">the proposed special variation will apply to the minimum rate of any ordinary and special rate, </w:t>
      </w:r>
      <w:r>
        <w:t xml:space="preserve">and </w:t>
      </w:r>
      <w:r w:rsidR="005B2795">
        <w:t xml:space="preserve">any change to </w:t>
      </w:r>
      <w:r>
        <w:t xml:space="preserve">the </w:t>
      </w:r>
      <w:r w:rsidR="005B2795">
        <w:t xml:space="preserve">proportion </w:t>
      </w:r>
      <w:r>
        <w:t xml:space="preserve">of ratepayers on the minimum rate for </w:t>
      </w:r>
      <w:r w:rsidR="005B2795">
        <w:t xml:space="preserve">all relevant </w:t>
      </w:r>
      <w:r w:rsidRPr="00525B8C">
        <w:t>categor</w:t>
      </w:r>
      <w:r w:rsidR="005B2795" w:rsidRPr="00525B8C">
        <w:t>ies</w:t>
      </w:r>
      <w:r w:rsidR="00B448B7" w:rsidRPr="00525B8C">
        <w:t xml:space="preserve"> that will occur as a result</w:t>
      </w:r>
      <w:r w:rsidR="00F80E4D" w:rsidRPr="00525B8C">
        <w:t>.</w:t>
      </w:r>
      <w:r w:rsidR="00E44290">
        <w:t xml:space="preserve">  </w:t>
      </w:r>
    </w:p>
    <w:p w:rsidR="00BC076A" w:rsidRDefault="005B2795" w:rsidP="002C54BE">
      <w:pPr>
        <w:pStyle w:val="BodyText"/>
      </w:pPr>
      <w:r w:rsidRPr="00525B8C">
        <w:t>So that we can assess the reasonableness of the impact on minimum ratepayers, b</w:t>
      </w:r>
      <w:r w:rsidR="00B448B7" w:rsidRPr="00525B8C">
        <w:t xml:space="preserve">riefly explain the types of </w:t>
      </w:r>
      <w:r w:rsidR="00BC076A" w:rsidRPr="00525B8C">
        <w:t xml:space="preserve">ratepayers </w:t>
      </w:r>
      <w:r w:rsidR="00B448B7" w:rsidRPr="00525B8C">
        <w:t xml:space="preserve">that are on </w:t>
      </w:r>
      <w:r w:rsidR="004A615D" w:rsidRPr="00525B8C">
        <w:t>minimum rates</w:t>
      </w:r>
      <w:r w:rsidRPr="00525B8C">
        <w:t xml:space="preserve">, and the rationale for </w:t>
      </w:r>
      <w:r w:rsidR="00B448B7" w:rsidRPr="00525B8C">
        <w:t>the proposed impact of the special variation on minimum rate levels.</w:t>
      </w:r>
    </w:p>
    <w:p w:rsidR="006348B4" w:rsidRPr="00B17EC1" w:rsidRDefault="00BB7E67" w:rsidP="002C54BE">
      <w:pPr>
        <w:pStyle w:val="Heading2"/>
      </w:pPr>
      <w:bookmarkStart w:id="30" w:name="_Toc380956899"/>
      <w:r>
        <w:t>Affordability and c</w:t>
      </w:r>
      <w:r w:rsidR="006348B4" w:rsidRPr="00B17EC1">
        <w:t>ommunity capacity to pay</w:t>
      </w:r>
      <w:bookmarkEnd w:id="30"/>
    </w:p>
    <w:p w:rsidR="003212C9" w:rsidRDefault="00BB7E67" w:rsidP="002C54BE">
      <w:pPr>
        <w:pStyle w:val="BodyText"/>
      </w:pPr>
      <w:r w:rsidRPr="00525B8C">
        <w:t>Show how your IP&amp;R process</w:t>
      </w:r>
      <w:r w:rsidR="00B448B7" w:rsidRPr="00525B8C">
        <w:t>es</w:t>
      </w:r>
      <w:r w:rsidRPr="00525B8C">
        <w:t xml:space="preserve"> ha</w:t>
      </w:r>
      <w:r w:rsidR="00B448B7" w:rsidRPr="00525B8C">
        <w:t>ve</w:t>
      </w:r>
      <w:r w:rsidRPr="00525B8C">
        <w:t xml:space="preserve"> established that the p</w:t>
      </w:r>
      <w:r w:rsidR="003212C9" w:rsidRPr="00525B8C">
        <w:t>ro</w:t>
      </w:r>
      <w:r w:rsidRPr="00525B8C">
        <w:t>posed rate rises are affordable for your community</w:t>
      </w:r>
      <w:r w:rsidR="00B448B7" w:rsidRPr="00525B8C">
        <w:t>, and that affected ratepayers have the capacity to pay the higher rate levels</w:t>
      </w:r>
      <w:r w:rsidRPr="00525B8C">
        <w:t xml:space="preserve">. </w:t>
      </w:r>
      <w:r w:rsidR="00B448B7" w:rsidRPr="00525B8C">
        <w:t xml:space="preserve"> </w:t>
      </w:r>
      <w:r w:rsidR="003212C9" w:rsidRPr="00525B8C">
        <w:t>(</w:t>
      </w:r>
      <w:r w:rsidR="00B448B7" w:rsidRPr="00525B8C">
        <w:t xml:space="preserve">Indicators </w:t>
      </w:r>
      <w:r w:rsidR="003212C9" w:rsidRPr="00525B8C">
        <w:t>considered</w:t>
      </w:r>
      <w:r w:rsidR="002C54BE" w:rsidRPr="00525B8C">
        <w:t xml:space="preserve"> </w:t>
      </w:r>
      <w:r w:rsidR="00497F19" w:rsidRPr="00525B8C">
        <w:t xml:space="preserve">in this context </w:t>
      </w:r>
      <w:r w:rsidR="00B448B7" w:rsidRPr="00525B8C">
        <w:t xml:space="preserve">may be similar to </w:t>
      </w:r>
      <w:r w:rsidR="003212C9" w:rsidRPr="00525B8C">
        <w:t>those cited under criterion 2.)</w:t>
      </w:r>
      <w:r w:rsidR="003212C9">
        <w:t xml:space="preserve"> </w:t>
      </w:r>
    </w:p>
    <w:p w:rsidR="003075FE" w:rsidRDefault="003075FE" w:rsidP="008D7C80">
      <w:pPr>
        <w:rPr>
          <w:rFonts w:asciiTheme="minorHAnsi" w:hAnsiTheme="minorHAnsi"/>
          <w:b/>
          <w:color w:val="1F497D" w:themeColor="text2"/>
          <w:sz w:val="22"/>
          <w:szCs w:val="22"/>
        </w:rPr>
      </w:pPr>
    </w:p>
    <w:p w:rsidR="008D7C80" w:rsidRPr="008D7C80" w:rsidRDefault="008D7C80" w:rsidP="008D7C80">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5F240E" w:rsidRDefault="005F240E" w:rsidP="009D5ABD">
      <w:pPr>
        <w:rPr>
          <w:rFonts w:asciiTheme="minorHAnsi" w:eastAsia="Calibri" w:hAnsiTheme="minorHAnsi" w:cs="Arial"/>
          <w:color w:val="1F497D" w:themeColor="text2"/>
          <w:sz w:val="22"/>
          <w:szCs w:val="22"/>
        </w:rPr>
      </w:pPr>
      <w:r w:rsidRPr="005F240E">
        <w:rPr>
          <w:rFonts w:asciiTheme="minorHAnsi" w:eastAsia="Calibri" w:hAnsiTheme="minorHAnsi" w:cs="Arial"/>
          <w:color w:val="1F497D" w:themeColor="text2"/>
          <w:sz w:val="22"/>
          <w:szCs w:val="22"/>
        </w:rPr>
        <w:t xml:space="preserve">The following tables have been extracted from Council’s 2014-2024 Long Term Financial </w:t>
      </w:r>
      <w:proofErr w:type="gramStart"/>
      <w:r w:rsidRPr="005F240E">
        <w:rPr>
          <w:rFonts w:asciiTheme="minorHAnsi" w:eastAsia="Calibri" w:hAnsiTheme="minorHAnsi" w:cs="Arial"/>
          <w:color w:val="1F497D" w:themeColor="text2"/>
          <w:sz w:val="22"/>
          <w:szCs w:val="22"/>
        </w:rPr>
        <w:t>Plan</w:t>
      </w:r>
      <w:proofErr w:type="gramEnd"/>
      <w:r w:rsidRPr="005F240E">
        <w:rPr>
          <w:rFonts w:asciiTheme="minorHAnsi" w:eastAsia="Calibri" w:hAnsiTheme="minorHAnsi" w:cs="Arial"/>
          <w:color w:val="1F497D" w:themeColor="text2"/>
          <w:sz w:val="22"/>
          <w:szCs w:val="22"/>
        </w:rPr>
        <w:t>. The below figures are also inclusive of an assumed Special Rate Variation of 6% on the Farmland rating category and 10% on all other rating categories for years 2016/17 to 2023/24.</w:t>
      </w:r>
      <w:bookmarkStart w:id="31" w:name="_Toc373852761"/>
    </w:p>
    <w:p w:rsidR="00D50C61" w:rsidRDefault="00D50C61" w:rsidP="009D5ABD">
      <w:pPr>
        <w:rPr>
          <w:rFonts w:asciiTheme="minorHAnsi" w:eastAsia="Calibri" w:hAnsiTheme="minorHAnsi" w:cs="Arial"/>
          <w:color w:val="1F497D" w:themeColor="text2"/>
          <w:sz w:val="22"/>
          <w:szCs w:val="22"/>
        </w:rPr>
      </w:pPr>
    </w:p>
    <w:p w:rsidR="00876DDD" w:rsidRDefault="00876DDD" w:rsidP="009D5ABD">
      <w:pPr>
        <w:rPr>
          <w:rFonts w:asciiTheme="minorHAnsi" w:eastAsia="Calibri" w:hAnsiTheme="minorHAnsi" w:cs="Arial"/>
          <w:color w:val="1F497D" w:themeColor="text2"/>
          <w:sz w:val="22"/>
          <w:szCs w:val="22"/>
        </w:rPr>
      </w:pPr>
      <w:r>
        <w:rPr>
          <w:rFonts w:asciiTheme="minorHAnsi" w:eastAsia="Calibri" w:hAnsiTheme="minorHAnsi" w:cs="Arial"/>
          <w:color w:val="1F497D" w:themeColor="text2"/>
          <w:sz w:val="22"/>
          <w:szCs w:val="22"/>
        </w:rPr>
        <w:t xml:space="preserve">The survey undertaken by Council </w:t>
      </w:r>
      <w:proofErr w:type="spellStart"/>
      <w:r>
        <w:rPr>
          <w:rFonts w:asciiTheme="minorHAnsi" w:eastAsia="Calibri" w:hAnsiTheme="minorHAnsi" w:cs="Arial"/>
          <w:color w:val="1F497D" w:themeColor="text2"/>
          <w:sz w:val="22"/>
          <w:szCs w:val="22"/>
        </w:rPr>
        <w:t>prioiritised</w:t>
      </w:r>
      <w:proofErr w:type="spellEnd"/>
      <w:r>
        <w:rPr>
          <w:rFonts w:asciiTheme="minorHAnsi" w:eastAsia="Calibri" w:hAnsiTheme="minorHAnsi" w:cs="Arial"/>
          <w:color w:val="1F497D" w:themeColor="text2"/>
          <w:sz w:val="22"/>
          <w:szCs w:val="22"/>
        </w:rPr>
        <w:t xml:space="preserve"> key services and supported continued delivery of these which in turn requires infrastructure and assets to be maintained to a serviceable level.</w:t>
      </w:r>
    </w:p>
    <w:p w:rsidR="00876DDD" w:rsidRDefault="00876DDD" w:rsidP="009D5ABD">
      <w:pPr>
        <w:rPr>
          <w:rFonts w:asciiTheme="minorHAnsi" w:eastAsia="Calibri" w:hAnsiTheme="minorHAnsi" w:cs="Arial"/>
          <w:color w:val="1F497D" w:themeColor="text2"/>
          <w:sz w:val="22"/>
          <w:szCs w:val="22"/>
        </w:rPr>
      </w:pPr>
    </w:p>
    <w:p w:rsidR="004025F5" w:rsidRPr="00262E00" w:rsidRDefault="004025F5" w:rsidP="009D5ABD">
      <w:pPr>
        <w:rPr>
          <w:rFonts w:asciiTheme="minorHAnsi" w:eastAsia="Calibri" w:hAnsiTheme="minorHAnsi" w:cs="Arial"/>
          <w:color w:val="1F497D" w:themeColor="text2"/>
          <w:sz w:val="22"/>
          <w:szCs w:val="22"/>
        </w:rPr>
      </w:pPr>
      <w:r w:rsidRPr="00262E00">
        <w:rPr>
          <w:rFonts w:asciiTheme="minorHAnsi" w:eastAsia="Calibri" w:hAnsiTheme="minorHAnsi" w:cs="Arial"/>
          <w:color w:val="1F497D" w:themeColor="text2"/>
          <w:sz w:val="22"/>
          <w:szCs w:val="22"/>
        </w:rPr>
        <w:t xml:space="preserve">Councils’ consultation </w:t>
      </w:r>
      <w:r w:rsidR="00876DDD" w:rsidRPr="00262E00">
        <w:rPr>
          <w:rFonts w:asciiTheme="minorHAnsi" w:eastAsia="Calibri" w:hAnsiTheme="minorHAnsi" w:cs="Arial"/>
          <w:color w:val="1F497D" w:themeColor="text2"/>
          <w:sz w:val="22"/>
          <w:szCs w:val="22"/>
        </w:rPr>
        <w:t xml:space="preserve">at village meetings </w:t>
      </w:r>
      <w:r w:rsidRPr="00262E00">
        <w:rPr>
          <w:rFonts w:asciiTheme="minorHAnsi" w:eastAsia="Calibri" w:hAnsiTheme="minorHAnsi" w:cs="Arial"/>
          <w:color w:val="1F497D" w:themeColor="text2"/>
          <w:sz w:val="22"/>
          <w:szCs w:val="22"/>
        </w:rPr>
        <w:t>provided support for rate increases</w:t>
      </w:r>
      <w:r w:rsidR="00876DDD" w:rsidRPr="00262E00">
        <w:rPr>
          <w:rFonts w:asciiTheme="minorHAnsi" w:eastAsia="Calibri" w:hAnsiTheme="minorHAnsi" w:cs="Arial"/>
          <w:color w:val="1F497D" w:themeColor="text2"/>
          <w:sz w:val="22"/>
          <w:szCs w:val="22"/>
        </w:rPr>
        <w:t>. While farmers did not support any increase</w:t>
      </w:r>
      <w:r w:rsidR="005D02F5" w:rsidRPr="00262E00">
        <w:rPr>
          <w:rFonts w:asciiTheme="minorHAnsi" w:eastAsia="Calibri" w:hAnsiTheme="minorHAnsi" w:cs="Arial"/>
          <w:color w:val="1F497D" w:themeColor="text2"/>
          <w:sz w:val="22"/>
          <w:szCs w:val="22"/>
        </w:rPr>
        <w:t>. C</w:t>
      </w:r>
      <w:r w:rsidR="00876DDD" w:rsidRPr="00262E00">
        <w:rPr>
          <w:rFonts w:asciiTheme="minorHAnsi" w:eastAsia="Calibri" w:hAnsiTheme="minorHAnsi" w:cs="Arial"/>
          <w:color w:val="1F497D" w:themeColor="text2"/>
          <w:sz w:val="22"/>
          <w:szCs w:val="22"/>
        </w:rPr>
        <w:t>ontinued provision of key infrastructure such as</w:t>
      </w:r>
      <w:r w:rsidR="005D02F5" w:rsidRPr="00262E00">
        <w:rPr>
          <w:rFonts w:asciiTheme="minorHAnsi" w:eastAsia="Calibri" w:hAnsiTheme="minorHAnsi" w:cs="Arial"/>
          <w:color w:val="1F497D" w:themeColor="text2"/>
          <w:sz w:val="22"/>
          <w:szCs w:val="22"/>
        </w:rPr>
        <w:t xml:space="preserve"> the</w:t>
      </w:r>
      <w:r w:rsidR="00876DDD" w:rsidRPr="00262E00">
        <w:rPr>
          <w:rFonts w:asciiTheme="minorHAnsi" w:eastAsia="Calibri" w:hAnsiTheme="minorHAnsi" w:cs="Arial"/>
          <w:color w:val="1F497D" w:themeColor="text2"/>
          <w:sz w:val="22"/>
          <w:szCs w:val="22"/>
        </w:rPr>
        <w:t xml:space="preserve"> road network</w:t>
      </w:r>
      <w:r w:rsidR="005D02F5" w:rsidRPr="00262E00">
        <w:rPr>
          <w:rFonts w:asciiTheme="minorHAnsi" w:eastAsia="Calibri" w:hAnsiTheme="minorHAnsi" w:cs="Arial"/>
          <w:color w:val="1F497D" w:themeColor="text2"/>
          <w:sz w:val="22"/>
          <w:szCs w:val="22"/>
        </w:rPr>
        <w:t xml:space="preserve"> and bridges </w:t>
      </w:r>
      <w:r w:rsidR="00876DDD" w:rsidRPr="00262E00">
        <w:rPr>
          <w:rFonts w:asciiTheme="minorHAnsi" w:eastAsia="Calibri" w:hAnsiTheme="minorHAnsi" w:cs="Arial"/>
          <w:color w:val="1F497D" w:themeColor="text2"/>
          <w:sz w:val="22"/>
          <w:szCs w:val="22"/>
        </w:rPr>
        <w:t>was considered essential.</w:t>
      </w:r>
    </w:p>
    <w:p w:rsidR="004025F5" w:rsidRPr="00262E00" w:rsidRDefault="004025F5" w:rsidP="009D5ABD">
      <w:pPr>
        <w:rPr>
          <w:rFonts w:asciiTheme="minorHAnsi" w:eastAsia="Calibri" w:hAnsiTheme="minorHAnsi" w:cs="Arial"/>
          <w:color w:val="1F497D" w:themeColor="text2"/>
          <w:sz w:val="22"/>
          <w:szCs w:val="22"/>
        </w:rPr>
      </w:pPr>
    </w:p>
    <w:p w:rsidR="00D50C61" w:rsidRDefault="004025F5" w:rsidP="009D5ABD">
      <w:pPr>
        <w:rPr>
          <w:rFonts w:asciiTheme="minorHAnsi" w:eastAsia="Calibri" w:hAnsiTheme="minorHAnsi" w:cs="Arial"/>
          <w:color w:val="1F497D" w:themeColor="text2"/>
          <w:sz w:val="22"/>
          <w:szCs w:val="22"/>
        </w:rPr>
      </w:pPr>
      <w:r w:rsidRPr="00262E00">
        <w:rPr>
          <w:rFonts w:asciiTheme="minorHAnsi" w:eastAsia="Calibri" w:hAnsiTheme="minorHAnsi" w:cs="Arial"/>
          <w:color w:val="1F497D" w:themeColor="text2"/>
          <w:sz w:val="22"/>
          <w:szCs w:val="22"/>
        </w:rPr>
        <w:t>As outlined in criterion 2</w:t>
      </w:r>
      <w:r w:rsidR="00876DDD" w:rsidRPr="00262E00">
        <w:rPr>
          <w:rFonts w:asciiTheme="minorHAnsi" w:eastAsia="Calibri" w:hAnsiTheme="minorHAnsi" w:cs="Arial"/>
          <w:color w:val="1F497D" w:themeColor="text2"/>
          <w:sz w:val="22"/>
          <w:szCs w:val="22"/>
        </w:rPr>
        <w:t xml:space="preserve">, </w:t>
      </w:r>
      <w:r w:rsidRPr="00262E00">
        <w:rPr>
          <w:rFonts w:asciiTheme="minorHAnsi" w:eastAsia="Calibri" w:hAnsiTheme="minorHAnsi" w:cs="Arial"/>
          <w:color w:val="1F497D" w:themeColor="text2"/>
          <w:sz w:val="22"/>
          <w:szCs w:val="22"/>
        </w:rPr>
        <w:t>income levels and SEIFA</w:t>
      </w:r>
      <w:r>
        <w:rPr>
          <w:rFonts w:asciiTheme="minorHAnsi" w:eastAsia="Calibri" w:hAnsiTheme="minorHAnsi" w:cs="Arial"/>
          <w:color w:val="1F497D" w:themeColor="text2"/>
          <w:sz w:val="22"/>
          <w:szCs w:val="22"/>
        </w:rPr>
        <w:t xml:space="preserve"> scores </w:t>
      </w:r>
      <w:r w:rsidR="00876DDD">
        <w:rPr>
          <w:rFonts w:asciiTheme="minorHAnsi" w:eastAsia="Calibri" w:hAnsiTheme="minorHAnsi" w:cs="Arial"/>
          <w:color w:val="1F497D" w:themeColor="text2"/>
          <w:sz w:val="22"/>
          <w:szCs w:val="22"/>
        </w:rPr>
        <w:t xml:space="preserve">support the reasonableness case for the proposed increases. </w:t>
      </w:r>
      <w:r>
        <w:rPr>
          <w:rFonts w:asciiTheme="minorHAnsi" w:eastAsia="Calibri" w:hAnsiTheme="minorHAnsi" w:cs="Arial"/>
          <w:color w:val="1F497D" w:themeColor="text2"/>
          <w:sz w:val="22"/>
          <w:szCs w:val="22"/>
        </w:rPr>
        <w:t xml:space="preserve">Furthermore the Western Research Institute assessment on the impact upon ratepayers, based on a proposed larger increase, supports the reasonableness of </w:t>
      </w:r>
      <w:r w:rsidR="00262E00">
        <w:rPr>
          <w:rFonts w:asciiTheme="minorHAnsi" w:eastAsia="Calibri" w:hAnsiTheme="minorHAnsi" w:cs="Arial"/>
          <w:color w:val="1F497D" w:themeColor="text2"/>
          <w:sz w:val="22"/>
          <w:szCs w:val="22"/>
        </w:rPr>
        <w:t>the proposed the proposed two year 6%p.a.</w:t>
      </w:r>
      <w:r>
        <w:rPr>
          <w:rFonts w:asciiTheme="minorHAnsi" w:eastAsia="Calibri" w:hAnsiTheme="minorHAnsi" w:cs="Arial"/>
          <w:color w:val="1F497D" w:themeColor="text2"/>
          <w:sz w:val="22"/>
          <w:szCs w:val="22"/>
        </w:rPr>
        <w:t xml:space="preserve"> rate </w:t>
      </w:r>
      <w:r w:rsidR="00262E00">
        <w:rPr>
          <w:rFonts w:asciiTheme="minorHAnsi" w:eastAsia="Calibri" w:hAnsiTheme="minorHAnsi" w:cs="Arial"/>
          <w:color w:val="1F497D" w:themeColor="text2"/>
          <w:sz w:val="22"/>
          <w:szCs w:val="22"/>
        </w:rPr>
        <w:t>increase, excluding special variations in place</w:t>
      </w:r>
      <w:r>
        <w:rPr>
          <w:rFonts w:asciiTheme="minorHAnsi" w:eastAsia="Calibri" w:hAnsiTheme="minorHAnsi" w:cs="Arial"/>
          <w:color w:val="1F497D" w:themeColor="text2"/>
          <w:sz w:val="22"/>
          <w:szCs w:val="22"/>
        </w:rPr>
        <w:t xml:space="preserve">. </w:t>
      </w:r>
    </w:p>
    <w:p w:rsidR="00996F79" w:rsidRDefault="00996F79" w:rsidP="009D5ABD">
      <w:pPr>
        <w:rPr>
          <w:rFonts w:asciiTheme="minorHAnsi" w:eastAsia="Calibri" w:hAnsiTheme="minorHAnsi" w:cs="Arial"/>
          <w:color w:val="1F497D" w:themeColor="text2"/>
          <w:sz w:val="22"/>
          <w:szCs w:val="22"/>
        </w:rPr>
      </w:pPr>
    </w:p>
    <w:p w:rsidR="005F240E" w:rsidRDefault="005F240E" w:rsidP="005F240E">
      <w:pPr>
        <w:pStyle w:val="Heading3"/>
        <w:numPr>
          <w:ilvl w:val="0"/>
          <w:numId w:val="0"/>
        </w:numPr>
        <w:rPr>
          <w:color w:val="1F497D" w:themeColor="text2"/>
        </w:rPr>
        <w:sectPr w:rsidR="005F240E" w:rsidSect="00A4105B">
          <w:headerReference w:type="even" r:id="rId32"/>
          <w:headerReference w:type="default" r:id="rId33"/>
          <w:footerReference w:type="even" r:id="rId34"/>
          <w:pgSz w:w="11907" w:h="16840" w:code="9"/>
          <w:pgMar w:top="1440" w:right="1440" w:bottom="1440" w:left="1440" w:header="1134" w:footer="284" w:gutter="567"/>
          <w:cols w:space="708"/>
          <w:docGrid w:linePitch="360"/>
        </w:sectPr>
      </w:pPr>
    </w:p>
    <w:p w:rsidR="005F240E" w:rsidRPr="000B7516" w:rsidRDefault="005F240E" w:rsidP="005F240E">
      <w:pPr>
        <w:pStyle w:val="Heading3"/>
        <w:numPr>
          <w:ilvl w:val="0"/>
          <w:numId w:val="0"/>
        </w:numPr>
        <w:rPr>
          <w:b w:val="0"/>
          <w:color w:val="1F497D" w:themeColor="text2"/>
        </w:rPr>
      </w:pPr>
      <w:r w:rsidRPr="000B7516">
        <w:rPr>
          <w:color w:val="1F497D" w:themeColor="text2"/>
        </w:rPr>
        <w:lastRenderedPageBreak/>
        <w:t>Average Increase for Individual Rating Categories</w:t>
      </w:r>
      <w:bookmarkEnd w:id="31"/>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r w:rsidRPr="000B7516">
        <w:rPr>
          <w:rFonts w:cs="Arial"/>
          <w:noProof/>
          <w:color w:val="1F497D" w:themeColor="text2"/>
        </w:rPr>
        <w:drawing>
          <wp:inline distT="0" distB="0" distL="0" distR="0" wp14:anchorId="37D4BE4E" wp14:editId="779582D6">
            <wp:extent cx="9201150" cy="3124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01150" cy="3124200"/>
                    </a:xfrm>
                    <a:prstGeom prst="rect">
                      <a:avLst/>
                    </a:prstGeom>
                    <a:noFill/>
                    <a:ln>
                      <a:noFill/>
                    </a:ln>
                  </pic:spPr>
                </pic:pic>
              </a:graphicData>
            </a:graphic>
          </wp:inline>
        </w:drawing>
      </w:r>
    </w:p>
    <w:p w:rsidR="005F240E" w:rsidRPr="000B7516" w:rsidRDefault="005F240E" w:rsidP="005F240E">
      <w:pPr>
        <w:rPr>
          <w:rFonts w:cs="Arial"/>
          <w:color w:val="1F497D" w:themeColor="text2"/>
          <w:sz w:val="16"/>
          <w:szCs w:val="16"/>
          <w:highlight w:val="cyan"/>
        </w:rPr>
      </w:pPr>
    </w:p>
    <w:p w:rsidR="005F240E" w:rsidRPr="005F240E" w:rsidRDefault="005F240E" w:rsidP="005F240E">
      <w:pPr>
        <w:rPr>
          <w:rFonts w:asciiTheme="minorHAnsi" w:hAnsiTheme="minorHAnsi" w:cs="Arial"/>
          <w:i/>
          <w:color w:val="1F497D" w:themeColor="text2"/>
          <w:sz w:val="22"/>
          <w:szCs w:val="22"/>
        </w:rPr>
      </w:pPr>
      <w:r w:rsidRPr="005F240E">
        <w:rPr>
          <w:rFonts w:asciiTheme="minorHAnsi" w:hAnsiTheme="minorHAnsi" w:cs="Arial"/>
          <w:i/>
          <w:color w:val="1F497D" w:themeColor="text2"/>
          <w:sz w:val="22"/>
          <w:szCs w:val="22"/>
        </w:rPr>
        <w:t xml:space="preserve">*Calculations above are based on a Blayney Residential Rate with an unimproved land value of $60,000. Figures exclude an increase to Special Rate Variation for the Blayney Shire Community Centre. Sewer charges have been based on the Strategic Business Plan for Sewerage Services (refer to 3.2.1 LTFP) prepared by NSW Public Works. Waste charges are based on reasonable cost recovery (refer to 3.2.2 LTFP). </w:t>
      </w: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r w:rsidRPr="000B7516">
        <w:rPr>
          <w:rFonts w:cs="Arial"/>
          <w:noProof/>
          <w:color w:val="1F497D" w:themeColor="text2"/>
        </w:rPr>
        <w:lastRenderedPageBreak/>
        <w:drawing>
          <wp:inline distT="0" distB="0" distL="0" distR="0" wp14:anchorId="3DC94E0B" wp14:editId="6EC3D10A">
            <wp:extent cx="9201150" cy="3105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01150" cy="3105150"/>
                    </a:xfrm>
                    <a:prstGeom prst="rect">
                      <a:avLst/>
                    </a:prstGeom>
                    <a:noFill/>
                    <a:ln>
                      <a:noFill/>
                    </a:ln>
                  </pic:spPr>
                </pic:pic>
              </a:graphicData>
            </a:graphic>
          </wp:inline>
        </w:drawing>
      </w:r>
    </w:p>
    <w:p w:rsidR="005F240E" w:rsidRPr="000B7516" w:rsidRDefault="005F240E" w:rsidP="005F240E">
      <w:pPr>
        <w:rPr>
          <w:rFonts w:cs="Arial"/>
          <w:color w:val="1F497D" w:themeColor="text2"/>
          <w:sz w:val="16"/>
          <w:szCs w:val="16"/>
        </w:rPr>
      </w:pPr>
    </w:p>
    <w:p w:rsidR="005F240E" w:rsidRPr="005F240E" w:rsidRDefault="005F240E" w:rsidP="005F240E">
      <w:pPr>
        <w:rPr>
          <w:rFonts w:asciiTheme="minorHAnsi" w:hAnsiTheme="minorHAnsi" w:cs="Arial"/>
          <w:i/>
          <w:color w:val="1F497D" w:themeColor="text2"/>
          <w:sz w:val="22"/>
          <w:szCs w:val="22"/>
        </w:rPr>
      </w:pPr>
      <w:r w:rsidRPr="005F240E">
        <w:rPr>
          <w:rFonts w:asciiTheme="minorHAnsi" w:hAnsiTheme="minorHAnsi" w:cs="Arial"/>
          <w:i/>
          <w:color w:val="1F497D" w:themeColor="text2"/>
          <w:sz w:val="22"/>
          <w:szCs w:val="22"/>
        </w:rPr>
        <w:t>*Calculations above are based on a Blayney Residential Rate with an unimproved land value of $60,000. Figures exclude an increase to Special Rate Variation for the Blayney Shire Community Centre. Sewer charges have been based on the Strategic Business Plan for Sewerage Services (refer to 3.2.1 LTFP) prepared by NSW Public Works. Waste charges are based on reasonable cost recovery (refer to 3.2.2 LTFP).</w:t>
      </w: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r w:rsidRPr="000B7516">
        <w:rPr>
          <w:rFonts w:cs="Arial"/>
          <w:noProof/>
          <w:color w:val="1F497D" w:themeColor="text2"/>
        </w:rPr>
        <w:lastRenderedPageBreak/>
        <w:drawing>
          <wp:inline distT="0" distB="0" distL="0" distR="0" wp14:anchorId="69374CB0" wp14:editId="0985F70C">
            <wp:extent cx="9201150" cy="3181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01150" cy="3181350"/>
                    </a:xfrm>
                    <a:prstGeom prst="rect">
                      <a:avLst/>
                    </a:prstGeom>
                    <a:noFill/>
                    <a:ln>
                      <a:noFill/>
                    </a:ln>
                  </pic:spPr>
                </pic:pic>
              </a:graphicData>
            </a:graphic>
          </wp:inline>
        </w:drawing>
      </w:r>
    </w:p>
    <w:p w:rsidR="005F240E" w:rsidRPr="005F240E" w:rsidRDefault="005F240E" w:rsidP="005F240E">
      <w:pPr>
        <w:rPr>
          <w:rFonts w:asciiTheme="minorHAnsi" w:hAnsiTheme="minorHAnsi" w:cs="Arial"/>
          <w:i/>
          <w:color w:val="1F497D" w:themeColor="text2"/>
          <w:sz w:val="22"/>
          <w:szCs w:val="22"/>
        </w:rPr>
      </w:pPr>
      <w:r w:rsidRPr="005F240E">
        <w:rPr>
          <w:rFonts w:asciiTheme="minorHAnsi" w:hAnsiTheme="minorHAnsi" w:cs="Arial"/>
          <w:i/>
          <w:color w:val="1F497D" w:themeColor="text2"/>
          <w:sz w:val="22"/>
          <w:szCs w:val="22"/>
        </w:rPr>
        <w:t xml:space="preserve">*Calculations above are based on a Blayney Business Rate with an unimproved land value of $60,000. Figures exclude an increase to Special Rate Variation for the Blayney Shire Community Centre. Sewer rate is based on 20mm water service and 100 Kilolitres per year usage with a sewerage discharge factor of 95%. Waste charges are based on reasonable cost recovery (refer to 3.2.2 (LTFP). </w:t>
      </w: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r w:rsidRPr="000B7516">
        <w:rPr>
          <w:rFonts w:cs="Arial"/>
          <w:noProof/>
          <w:color w:val="1F497D" w:themeColor="text2"/>
        </w:rPr>
        <w:lastRenderedPageBreak/>
        <w:drawing>
          <wp:inline distT="0" distB="0" distL="0" distR="0" wp14:anchorId="73634B8B" wp14:editId="4355F893">
            <wp:extent cx="9201150" cy="3181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01150" cy="3181350"/>
                    </a:xfrm>
                    <a:prstGeom prst="rect">
                      <a:avLst/>
                    </a:prstGeom>
                    <a:noFill/>
                    <a:ln>
                      <a:noFill/>
                    </a:ln>
                  </pic:spPr>
                </pic:pic>
              </a:graphicData>
            </a:graphic>
          </wp:inline>
        </w:drawing>
      </w:r>
    </w:p>
    <w:p w:rsidR="005F240E" w:rsidRPr="005F240E" w:rsidRDefault="005F240E" w:rsidP="005F240E">
      <w:pPr>
        <w:rPr>
          <w:rFonts w:asciiTheme="minorHAnsi" w:hAnsiTheme="minorHAnsi" w:cs="Arial"/>
          <w:i/>
          <w:color w:val="1F497D" w:themeColor="text2"/>
          <w:sz w:val="22"/>
          <w:szCs w:val="22"/>
        </w:rPr>
      </w:pPr>
      <w:r w:rsidRPr="005F240E">
        <w:rPr>
          <w:rFonts w:asciiTheme="minorHAnsi" w:hAnsiTheme="minorHAnsi" w:cs="Arial"/>
          <w:i/>
          <w:color w:val="1F497D" w:themeColor="text2"/>
          <w:sz w:val="22"/>
          <w:szCs w:val="22"/>
        </w:rPr>
        <w:t xml:space="preserve">*Calculations above are based on a Blayney Business Rate with an unimproved land value of $60,000. Figures exclude an increase to Special Rate Variation for the Blayney Shire Community Centre. Sewer rate is based on 20mm water service and 100 Kilolitres per year usage with a sewerage discharge factor of 95%. Waste charges are based on reasonable cost recovery (refer to 3.2.2 LTFP). </w:t>
      </w: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p>
    <w:p w:rsidR="005F240E" w:rsidRPr="000B7516" w:rsidRDefault="005F240E" w:rsidP="005F240E">
      <w:pPr>
        <w:rPr>
          <w:rFonts w:cs="Arial"/>
          <w:color w:val="1F497D" w:themeColor="text2"/>
        </w:rPr>
      </w:pPr>
      <w:r w:rsidRPr="000B7516">
        <w:rPr>
          <w:rFonts w:cs="Arial"/>
          <w:noProof/>
          <w:color w:val="1F497D" w:themeColor="text2"/>
        </w:rPr>
        <w:lastRenderedPageBreak/>
        <w:drawing>
          <wp:inline distT="0" distB="0" distL="0" distR="0" wp14:anchorId="542DFA97" wp14:editId="02F34EDF">
            <wp:extent cx="9201150" cy="3381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01150" cy="3381375"/>
                    </a:xfrm>
                    <a:prstGeom prst="rect">
                      <a:avLst/>
                    </a:prstGeom>
                    <a:noFill/>
                    <a:ln>
                      <a:noFill/>
                    </a:ln>
                  </pic:spPr>
                </pic:pic>
              </a:graphicData>
            </a:graphic>
          </wp:inline>
        </w:drawing>
      </w:r>
    </w:p>
    <w:p w:rsidR="005F240E" w:rsidRPr="005F240E" w:rsidRDefault="005F240E" w:rsidP="005F240E">
      <w:pPr>
        <w:rPr>
          <w:rFonts w:asciiTheme="minorHAnsi" w:hAnsiTheme="minorHAnsi" w:cs="Arial"/>
          <w:i/>
          <w:color w:val="1F497D" w:themeColor="text2"/>
          <w:sz w:val="22"/>
          <w:szCs w:val="22"/>
        </w:rPr>
      </w:pPr>
      <w:r w:rsidRPr="005F240E">
        <w:rPr>
          <w:rFonts w:asciiTheme="minorHAnsi" w:hAnsiTheme="minorHAnsi" w:cs="Arial"/>
          <w:i/>
          <w:color w:val="1F497D" w:themeColor="text2"/>
          <w:sz w:val="22"/>
          <w:szCs w:val="22"/>
        </w:rPr>
        <w:t>*Calculations above are based on a Farmland Rate with an unimproved land value of $500,000. Figures exclude an increase to Special Rate Variation for the Blayney Shire Community Centre.</w:t>
      </w:r>
    </w:p>
    <w:p w:rsidR="005F240E" w:rsidRDefault="005F240E" w:rsidP="008D7C80">
      <w:pPr>
        <w:pStyle w:val="BodyText"/>
        <w:spacing w:before="0"/>
        <w:rPr>
          <w:rFonts w:asciiTheme="minorHAnsi" w:hAnsiTheme="minorHAnsi"/>
          <w:color w:val="1F497D" w:themeColor="text2"/>
          <w:sz w:val="22"/>
          <w:szCs w:val="22"/>
        </w:rPr>
      </w:pPr>
    </w:p>
    <w:p w:rsidR="005F240E" w:rsidRDefault="005F240E" w:rsidP="008D7C80">
      <w:pPr>
        <w:pStyle w:val="BodyText"/>
        <w:spacing w:before="0"/>
        <w:rPr>
          <w:rFonts w:asciiTheme="minorHAnsi" w:hAnsiTheme="minorHAnsi"/>
          <w:color w:val="1F497D" w:themeColor="text2"/>
          <w:sz w:val="22"/>
          <w:szCs w:val="22"/>
        </w:rPr>
      </w:pPr>
    </w:p>
    <w:p w:rsidR="005F240E" w:rsidRPr="00B17EC1" w:rsidRDefault="005F240E" w:rsidP="008D7C80">
      <w:pPr>
        <w:pStyle w:val="BodyText"/>
        <w:spacing w:before="0"/>
      </w:pPr>
    </w:p>
    <w:p w:rsidR="005F240E" w:rsidRDefault="005F240E" w:rsidP="00AE40AA">
      <w:pPr>
        <w:pStyle w:val="Heading2"/>
        <w:sectPr w:rsidR="005F240E" w:rsidSect="00893F1C">
          <w:pgSz w:w="16840" w:h="11907" w:orient="landscape" w:code="9"/>
          <w:pgMar w:top="1701" w:right="2268" w:bottom="1740" w:left="1418" w:header="1134" w:footer="284" w:gutter="567"/>
          <w:cols w:space="708"/>
          <w:docGrid w:linePitch="360"/>
        </w:sectPr>
      </w:pPr>
    </w:p>
    <w:p w:rsidR="003212C9" w:rsidRDefault="003212C9" w:rsidP="00AE40AA">
      <w:pPr>
        <w:pStyle w:val="Heading2"/>
      </w:pPr>
      <w:bookmarkStart w:id="32" w:name="_Toc380956900"/>
      <w:r>
        <w:lastRenderedPageBreak/>
        <w:t>Other factors in considering reasonable impact</w:t>
      </w:r>
      <w:bookmarkEnd w:id="32"/>
    </w:p>
    <w:p w:rsidR="002C54BE" w:rsidRDefault="003212C9" w:rsidP="002C54BE">
      <w:pPr>
        <w:pStyle w:val="BodyText"/>
      </w:pPr>
      <w:r w:rsidRPr="00525B8C">
        <w:t xml:space="preserve">In assessing whether the overall impact of the rate increases is reasonable we may use some of the same indicators </w:t>
      </w:r>
      <w:r w:rsidR="00E44290" w:rsidRPr="00525B8C">
        <w:t xml:space="preserve">that you cite in section 5.2 above. </w:t>
      </w:r>
      <w:r w:rsidR="00497F19" w:rsidRPr="00525B8C">
        <w:t xml:space="preserve"> </w:t>
      </w:r>
      <w:r w:rsidR="00E44290" w:rsidRPr="00525B8C">
        <w:t>In general, we will consider</w:t>
      </w:r>
      <w:r w:rsidR="00D32379" w:rsidRPr="00525B8C">
        <w:t xml:space="preserve"> indicators such </w:t>
      </w:r>
      <w:r w:rsidR="00E44290" w:rsidRPr="00525B8C">
        <w:t xml:space="preserve">as </w:t>
      </w:r>
      <w:r w:rsidR="00D32379" w:rsidRPr="00525B8C">
        <w:t xml:space="preserve">the local government area’s </w:t>
      </w:r>
      <w:r w:rsidR="002C54BE" w:rsidRPr="00525B8C">
        <w:t>SEIFA index rankings</w:t>
      </w:r>
      <w:r w:rsidR="005E09B2" w:rsidRPr="00525B8C">
        <w:t>, average</w:t>
      </w:r>
      <w:r w:rsidR="002C54BE" w:rsidRPr="00525B8C">
        <w:t xml:space="preserve"> income</w:t>
      </w:r>
      <w:r w:rsidR="00472269" w:rsidRPr="00525B8C">
        <w:t xml:space="preserve">, </w:t>
      </w:r>
      <w:r w:rsidR="00895FD6" w:rsidRPr="00525B8C">
        <w:t xml:space="preserve">and </w:t>
      </w:r>
      <w:r w:rsidR="00472269" w:rsidRPr="00525B8C">
        <w:t xml:space="preserve">current </w:t>
      </w:r>
      <w:r w:rsidR="00895FD6" w:rsidRPr="00525B8C">
        <w:t xml:space="preserve">rate </w:t>
      </w:r>
      <w:r w:rsidR="005E09B2" w:rsidRPr="00525B8C">
        <w:t>level</w:t>
      </w:r>
      <w:r w:rsidR="00895FD6" w:rsidRPr="00525B8C">
        <w:t>s</w:t>
      </w:r>
      <w:r w:rsidR="00BC076A" w:rsidRPr="00525B8C">
        <w:t xml:space="preserve"> </w:t>
      </w:r>
      <w:r w:rsidR="00895FD6" w:rsidRPr="00525B8C">
        <w:t xml:space="preserve">as they relate to those in </w:t>
      </w:r>
      <w:r w:rsidR="00D32379" w:rsidRPr="00525B8C">
        <w:t xml:space="preserve">comparable </w:t>
      </w:r>
      <w:r w:rsidRPr="00525B8C">
        <w:t>councils</w:t>
      </w:r>
      <w:r w:rsidR="00E44290" w:rsidRPr="00525B8C">
        <w:t>.</w:t>
      </w:r>
      <w:r w:rsidR="004A615D" w:rsidRPr="00525B8C">
        <w:t xml:space="preserve">  We may also consider </w:t>
      </w:r>
      <w:r w:rsidR="00E44290" w:rsidRPr="00525B8C">
        <w:t>how</w:t>
      </w:r>
      <w:r w:rsidR="004A615D" w:rsidRPr="00525B8C">
        <w:t xml:space="preserve"> </w:t>
      </w:r>
      <w:r w:rsidR="00895FD6" w:rsidRPr="00525B8C">
        <w:t xml:space="preserve">the council’s </w:t>
      </w:r>
      <w:r w:rsidR="004A615D" w:rsidRPr="00525B8C">
        <w:t xml:space="preserve">hardship policy </w:t>
      </w:r>
      <w:r w:rsidR="005F72FF">
        <w:t xml:space="preserve">might </w:t>
      </w:r>
      <w:r w:rsidR="00F9339E">
        <w:t>reduce</w:t>
      </w:r>
      <w:r w:rsidR="004A615D" w:rsidRPr="00525B8C">
        <w:t xml:space="preserve"> the impact on ratepayers.</w:t>
      </w:r>
    </w:p>
    <w:p w:rsidR="00450F34" w:rsidRDefault="00450F34" w:rsidP="00AE40AA">
      <w:pPr>
        <w:pStyle w:val="Heading3"/>
      </w:pPr>
      <w:r w:rsidRPr="00B17EC1">
        <w:t>Addressing hardship</w:t>
      </w:r>
    </w:p>
    <w:p w:rsidR="000431EA" w:rsidRDefault="00462EAF" w:rsidP="000431EA">
      <w:pPr>
        <w:pStyle w:val="BodyText"/>
      </w:pPr>
      <w:r w:rsidRPr="005F72FF">
        <w:t xml:space="preserve">In addition to the statutory requirement for pensioner rebates, most </w:t>
      </w:r>
      <w:proofErr w:type="gramStart"/>
      <w:r w:rsidRPr="005F72FF">
        <w:t>councils</w:t>
      </w:r>
      <w:proofErr w:type="gramEnd"/>
      <w:r w:rsidRPr="005F72FF">
        <w:t xml:space="preserve"> hav</w:t>
      </w:r>
      <w:r w:rsidR="00F9339E">
        <w:t>e a policy, formal or otherwise</w:t>
      </w:r>
      <w:r w:rsidRPr="005F72FF">
        <w:t>.</w:t>
      </w:r>
    </w:p>
    <w:p w:rsidR="00462EAF" w:rsidRPr="000431EA" w:rsidRDefault="00462EAF" w:rsidP="00462EAF">
      <w:pPr>
        <w:pStyle w:val="BodyText"/>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887"/>
      </w:tblGrid>
      <w:tr w:rsidR="00176769" w:rsidTr="00E56562">
        <w:tc>
          <w:tcPr>
            <w:tcW w:w="6228" w:type="dxa"/>
          </w:tcPr>
          <w:p w:rsidR="00176769" w:rsidRDefault="00176769" w:rsidP="00462EAF">
            <w:pPr>
              <w:pStyle w:val="BodyText"/>
              <w:keepNext/>
              <w:rPr>
                <w:bCs/>
              </w:rPr>
            </w:pPr>
            <w:r w:rsidRPr="00B17EC1">
              <w:rPr>
                <w:bCs/>
              </w:rPr>
              <w:t>Do</w:t>
            </w:r>
            <w:r w:rsidR="00462EAF">
              <w:rPr>
                <w:bCs/>
              </w:rPr>
              <w:t>e the council</w:t>
            </w:r>
            <w:r w:rsidRPr="00B17EC1">
              <w:rPr>
                <w:bCs/>
              </w:rPr>
              <w:t xml:space="preserve"> have a Hardship Policy?</w:t>
            </w:r>
          </w:p>
        </w:tc>
        <w:tc>
          <w:tcPr>
            <w:tcW w:w="1887" w:type="dxa"/>
            <w:vAlign w:val="bottom"/>
          </w:tcPr>
          <w:p w:rsidR="00C6794C" w:rsidRDefault="00176769" w:rsidP="00115AAE">
            <w:pPr>
              <w:pStyle w:val="BodyText"/>
              <w:keepNext/>
              <w:jc w:val="right"/>
              <w:rPr>
                <w:bCs/>
              </w:rPr>
            </w:pPr>
            <w:r w:rsidRPr="00C404AF">
              <w:rPr>
                <w:rFonts w:cs="Arial"/>
              </w:rPr>
              <w:t>Yes</w:t>
            </w:r>
            <w:r>
              <w:rPr>
                <w:rFonts w:cs="Arial"/>
              </w:rPr>
              <w:t xml:space="preserve"> </w:t>
            </w:r>
            <w:r w:rsidR="00115AAE">
              <w:rPr>
                <w:rFonts w:cs="Arial"/>
              </w:rPr>
              <w:fldChar w:fldCharType="begin">
                <w:ffData>
                  <w:name w:val="Check6"/>
                  <w:enabled/>
                  <w:calcOnExit w:val="0"/>
                  <w:checkBox>
                    <w:sizeAuto/>
                    <w:default w:val="1"/>
                  </w:checkBox>
                </w:ffData>
              </w:fldChar>
            </w:r>
            <w:bookmarkStart w:id="33" w:name="Check6"/>
            <w:r w:rsidR="00115AAE">
              <w:rPr>
                <w:rFonts w:cs="Arial"/>
              </w:rPr>
              <w:instrText xml:space="preserve"> FORMCHECKBOX </w:instrText>
            </w:r>
            <w:r w:rsidR="004B36A1">
              <w:rPr>
                <w:rFonts w:cs="Arial"/>
              </w:rPr>
            </w:r>
            <w:r w:rsidR="004B36A1">
              <w:rPr>
                <w:rFonts w:cs="Arial"/>
              </w:rPr>
              <w:fldChar w:fldCharType="separate"/>
            </w:r>
            <w:r w:rsidR="00115AAE">
              <w:rPr>
                <w:rFonts w:cs="Arial"/>
              </w:rPr>
              <w:fldChar w:fldCharType="end"/>
            </w:r>
            <w:bookmarkEnd w:id="33"/>
            <w:r>
              <w:rPr>
                <w:rFonts w:cs="Arial"/>
              </w:rPr>
              <w:t xml:space="preserve">     No </w:t>
            </w:r>
            <w:r>
              <w:rPr>
                <w:rFonts w:cs="Arial"/>
              </w:rPr>
              <w:fldChar w:fldCharType="begin">
                <w:ffData>
                  <w:name w:val="Check7"/>
                  <w:enabled/>
                  <w:calcOnExit w:val="0"/>
                  <w:checkBox>
                    <w:sizeAuto/>
                    <w:default w:val="0"/>
                  </w:checkBox>
                </w:ffData>
              </w:fldChar>
            </w:r>
            <w:r>
              <w:rPr>
                <w:rFonts w:cs="Arial"/>
              </w:rPr>
              <w:instrText xml:space="preserve"> FORMCHECKBOX </w:instrText>
            </w:r>
            <w:r w:rsidR="004B36A1">
              <w:rPr>
                <w:rFonts w:cs="Arial"/>
              </w:rPr>
            </w:r>
            <w:r w:rsidR="004B36A1">
              <w:rPr>
                <w:rFonts w:cs="Arial"/>
              </w:rPr>
              <w:fldChar w:fldCharType="separate"/>
            </w:r>
            <w:r>
              <w:rPr>
                <w:rFonts w:cs="Arial"/>
              </w:rPr>
              <w:fldChar w:fldCharType="end"/>
            </w:r>
          </w:p>
        </w:tc>
      </w:tr>
      <w:tr w:rsidR="00C6794C" w:rsidTr="00E56562">
        <w:tc>
          <w:tcPr>
            <w:tcW w:w="6228" w:type="dxa"/>
          </w:tcPr>
          <w:p w:rsidR="00C6794C" w:rsidRPr="00C8115C" w:rsidRDefault="00C6794C" w:rsidP="00462EAF">
            <w:pPr>
              <w:pStyle w:val="BodyText"/>
              <w:keepNext/>
              <w:rPr>
                <w:rFonts w:cs="Arial"/>
              </w:rPr>
            </w:pPr>
            <w:r w:rsidRPr="00C8115C">
              <w:rPr>
                <w:rFonts w:cs="Arial"/>
              </w:rPr>
              <w:t xml:space="preserve">If Yes, is </w:t>
            </w:r>
            <w:r w:rsidR="005E09B2" w:rsidRPr="00C8115C">
              <w:rPr>
                <w:rFonts w:cs="Arial"/>
              </w:rPr>
              <w:t>it</w:t>
            </w:r>
            <w:r w:rsidRPr="00C8115C">
              <w:rPr>
                <w:rFonts w:cs="Arial"/>
              </w:rPr>
              <w:t xml:space="preserve"> identified in the council’s IP&amp;R document</w:t>
            </w:r>
            <w:r w:rsidR="005E09B2" w:rsidRPr="00C8115C">
              <w:rPr>
                <w:rFonts w:cs="Arial"/>
              </w:rPr>
              <w:t>s</w:t>
            </w:r>
            <w:r w:rsidRPr="00C8115C">
              <w:rPr>
                <w:rFonts w:cs="Arial"/>
              </w:rPr>
              <w:t>?</w:t>
            </w:r>
          </w:p>
        </w:tc>
        <w:tc>
          <w:tcPr>
            <w:tcW w:w="1887" w:type="dxa"/>
            <w:vAlign w:val="bottom"/>
          </w:tcPr>
          <w:p w:rsidR="00C6794C" w:rsidRPr="00C8115C" w:rsidRDefault="00C6794C" w:rsidP="00A8231C">
            <w:pPr>
              <w:pStyle w:val="BodyText"/>
              <w:keepNext/>
            </w:pPr>
            <w:r w:rsidRPr="00C8115C">
              <w:rPr>
                <w:rFonts w:cs="Arial"/>
              </w:rPr>
              <w:t xml:space="preserve">   Yes </w:t>
            </w:r>
            <w:r w:rsidRPr="00C8115C">
              <w:rPr>
                <w:rFonts w:cs="Arial"/>
              </w:rPr>
              <w:fldChar w:fldCharType="begin">
                <w:ffData>
                  <w:name w:val=""/>
                  <w:enabled/>
                  <w:calcOnExit w:val="0"/>
                  <w:checkBox>
                    <w:sizeAuto/>
                    <w:default w:val="0"/>
                  </w:checkBox>
                </w:ffData>
              </w:fldChar>
            </w:r>
            <w:r w:rsidRPr="00C8115C">
              <w:rPr>
                <w:rFonts w:cs="Arial"/>
              </w:rPr>
              <w:instrText xml:space="preserve"> FORMCHECKBOX </w:instrText>
            </w:r>
            <w:r w:rsidR="004B36A1">
              <w:rPr>
                <w:rFonts w:cs="Arial"/>
              </w:rPr>
            </w:r>
            <w:r w:rsidR="004B36A1">
              <w:rPr>
                <w:rFonts w:cs="Arial"/>
              </w:rPr>
              <w:fldChar w:fldCharType="separate"/>
            </w:r>
            <w:r w:rsidRPr="00C8115C">
              <w:rPr>
                <w:rFonts w:cs="Arial"/>
              </w:rPr>
              <w:fldChar w:fldCharType="end"/>
            </w:r>
            <w:r w:rsidRPr="00C8115C">
              <w:rPr>
                <w:rFonts w:cs="Arial"/>
              </w:rPr>
              <w:t xml:space="preserve">     No </w:t>
            </w:r>
            <w:r w:rsidR="00A8231C" w:rsidRPr="00C8115C">
              <w:rPr>
                <w:rFonts w:cs="Arial"/>
              </w:rPr>
              <w:fldChar w:fldCharType="begin">
                <w:ffData>
                  <w:name w:val=""/>
                  <w:enabled/>
                  <w:calcOnExit w:val="0"/>
                  <w:checkBox>
                    <w:sizeAuto/>
                    <w:default w:val="1"/>
                  </w:checkBox>
                </w:ffData>
              </w:fldChar>
            </w:r>
            <w:r w:rsidR="00A8231C" w:rsidRPr="00C8115C">
              <w:rPr>
                <w:rFonts w:cs="Arial"/>
              </w:rPr>
              <w:instrText xml:space="preserve"> FORMCHECKBOX </w:instrText>
            </w:r>
            <w:r w:rsidR="004B36A1">
              <w:rPr>
                <w:rFonts w:cs="Arial"/>
              </w:rPr>
            </w:r>
            <w:r w:rsidR="004B36A1">
              <w:rPr>
                <w:rFonts w:cs="Arial"/>
              </w:rPr>
              <w:fldChar w:fldCharType="separate"/>
            </w:r>
            <w:r w:rsidR="00A8231C" w:rsidRPr="00C8115C">
              <w:rPr>
                <w:rFonts w:cs="Arial"/>
              </w:rPr>
              <w:fldChar w:fldCharType="end"/>
            </w:r>
          </w:p>
        </w:tc>
      </w:tr>
      <w:tr w:rsidR="00176769" w:rsidTr="00E56562">
        <w:trPr>
          <w:trHeight w:val="780"/>
        </w:trPr>
        <w:tc>
          <w:tcPr>
            <w:tcW w:w="6228" w:type="dxa"/>
          </w:tcPr>
          <w:p w:rsidR="00176769" w:rsidRDefault="00E56562" w:rsidP="00462EAF">
            <w:pPr>
              <w:pStyle w:val="BodyText"/>
              <w:keepNext/>
              <w:rPr>
                <w:bCs/>
              </w:rPr>
            </w:pPr>
            <w:r>
              <w:rPr>
                <w:rFonts w:cs="Arial"/>
              </w:rPr>
              <w:t xml:space="preserve">Please attach a copy of </w:t>
            </w:r>
            <w:r w:rsidR="00176769" w:rsidRPr="00B17EC1">
              <w:rPr>
                <w:rFonts w:cs="Arial"/>
              </w:rPr>
              <w:t>the Policy</w:t>
            </w:r>
            <w:r w:rsidR="00BC076A">
              <w:rPr>
                <w:rFonts w:cs="Arial"/>
              </w:rPr>
              <w:t xml:space="preserve"> and explain who the potential beneficiaries are and how they are addressed.</w:t>
            </w:r>
          </w:p>
        </w:tc>
        <w:tc>
          <w:tcPr>
            <w:tcW w:w="1887" w:type="dxa"/>
            <w:vAlign w:val="bottom"/>
          </w:tcPr>
          <w:p w:rsidR="00176769" w:rsidRDefault="00176769" w:rsidP="00462EAF">
            <w:pPr>
              <w:pStyle w:val="BodyText"/>
              <w:keepNext/>
              <w:jc w:val="right"/>
              <w:rPr>
                <w:bCs/>
              </w:rPr>
            </w:pPr>
          </w:p>
        </w:tc>
      </w:tr>
      <w:tr w:rsidR="00176769" w:rsidTr="00E56562">
        <w:tc>
          <w:tcPr>
            <w:tcW w:w="6228" w:type="dxa"/>
          </w:tcPr>
          <w:p w:rsidR="00176769" w:rsidRDefault="00176769" w:rsidP="00462EAF">
            <w:pPr>
              <w:pStyle w:val="BodyText"/>
              <w:keepNext/>
              <w:rPr>
                <w:bCs/>
              </w:rPr>
            </w:pPr>
            <w:r w:rsidRPr="00B17EC1">
              <w:t>Do</w:t>
            </w:r>
            <w:r w:rsidR="00462EAF">
              <w:t xml:space="preserve">es the council </w:t>
            </w:r>
            <w:r w:rsidRPr="00B17EC1">
              <w:t xml:space="preserve">propose to introduce any measures to limit the impact </w:t>
            </w:r>
            <w:r>
              <w:t xml:space="preserve">of the proposed special variation </w:t>
            </w:r>
            <w:r w:rsidRPr="00B17EC1">
              <w:t xml:space="preserve">on </w:t>
            </w:r>
            <w:r w:rsidR="00BE1777">
              <w:t>various</w:t>
            </w:r>
            <w:r w:rsidRPr="00B17EC1">
              <w:t xml:space="preserve"> groups?   </w:t>
            </w:r>
          </w:p>
        </w:tc>
        <w:tc>
          <w:tcPr>
            <w:tcW w:w="1887" w:type="dxa"/>
            <w:vAlign w:val="bottom"/>
          </w:tcPr>
          <w:p w:rsidR="00176769" w:rsidRDefault="00176769" w:rsidP="00115AAE">
            <w:pPr>
              <w:pStyle w:val="BodyText"/>
              <w:keepNext/>
              <w:jc w:val="right"/>
              <w:rPr>
                <w:bCs/>
              </w:rPr>
            </w:pPr>
            <w:r w:rsidRPr="00B17EC1">
              <w:t xml:space="preserve">  </w:t>
            </w: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4B36A1">
              <w:rPr>
                <w:rFonts w:cs="Arial"/>
              </w:rPr>
            </w:r>
            <w:r w:rsidR="004B36A1">
              <w:rPr>
                <w:rFonts w:cs="Arial"/>
              </w:rPr>
              <w:fldChar w:fldCharType="separate"/>
            </w:r>
            <w:r>
              <w:rPr>
                <w:rFonts w:cs="Arial"/>
              </w:rPr>
              <w:fldChar w:fldCharType="end"/>
            </w:r>
            <w:r>
              <w:rPr>
                <w:rFonts w:cs="Arial"/>
              </w:rPr>
              <w:t xml:space="preserve">     No </w:t>
            </w:r>
            <w:r w:rsidR="00115AAE">
              <w:rPr>
                <w:rFonts w:cs="Arial"/>
              </w:rPr>
              <w:fldChar w:fldCharType="begin">
                <w:ffData>
                  <w:name w:val=""/>
                  <w:enabled/>
                  <w:calcOnExit w:val="0"/>
                  <w:checkBox>
                    <w:sizeAuto/>
                    <w:default w:val="1"/>
                  </w:checkBox>
                </w:ffData>
              </w:fldChar>
            </w:r>
            <w:r w:rsidR="00115AAE">
              <w:rPr>
                <w:rFonts w:cs="Arial"/>
              </w:rPr>
              <w:instrText xml:space="preserve"> FORMCHECKBOX </w:instrText>
            </w:r>
            <w:r w:rsidR="004B36A1">
              <w:rPr>
                <w:rFonts w:cs="Arial"/>
              </w:rPr>
            </w:r>
            <w:r w:rsidR="004B36A1">
              <w:rPr>
                <w:rFonts w:cs="Arial"/>
              </w:rPr>
              <w:fldChar w:fldCharType="separate"/>
            </w:r>
            <w:r w:rsidR="00115AAE">
              <w:rPr>
                <w:rFonts w:cs="Arial"/>
              </w:rPr>
              <w:fldChar w:fldCharType="end"/>
            </w:r>
          </w:p>
        </w:tc>
      </w:tr>
    </w:tbl>
    <w:p w:rsidR="00450F34" w:rsidRPr="00B17EC1" w:rsidRDefault="00450F34" w:rsidP="00450F34">
      <w:pPr>
        <w:pStyle w:val="BodyText"/>
      </w:pPr>
      <w:r w:rsidRPr="00DE461E">
        <w:t xml:space="preserve">Provide details of the measures to be adopted, or </w:t>
      </w:r>
      <w:r w:rsidR="00462EAF" w:rsidRPr="00DE461E">
        <w:t xml:space="preserve">alternatively, </w:t>
      </w:r>
      <w:r w:rsidR="00D46F7C" w:rsidRPr="00DE461E">
        <w:t xml:space="preserve">explain </w:t>
      </w:r>
      <w:r w:rsidRPr="00DE461E">
        <w:t>why no</w:t>
      </w:r>
      <w:r w:rsidR="00E57DC5" w:rsidRPr="00DE461E">
        <w:t xml:space="preserve"> measures are proposed.</w:t>
      </w:r>
    </w:p>
    <w:p w:rsidR="00DE461E" w:rsidRPr="008D7C80" w:rsidRDefault="00DE461E" w:rsidP="00DE461E">
      <w:pPr>
        <w:rPr>
          <w:rFonts w:asciiTheme="minorHAnsi" w:hAnsiTheme="minorHAnsi"/>
          <w:b/>
          <w:color w:val="1F497D" w:themeColor="text2"/>
          <w:sz w:val="22"/>
          <w:szCs w:val="22"/>
          <w:highlight w:val="yellow"/>
        </w:rPr>
      </w:pPr>
    </w:p>
    <w:p w:rsidR="003075FE" w:rsidRDefault="00DE461E" w:rsidP="003075FE">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AE40AA" w:rsidRPr="008D7C80" w:rsidRDefault="00DE461E" w:rsidP="003075FE">
      <w:pPr>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Council </w:t>
      </w:r>
      <w:r w:rsidR="00182B6F" w:rsidRPr="008D7C80">
        <w:rPr>
          <w:rFonts w:asciiTheme="minorHAnsi" w:hAnsiTheme="minorHAnsi"/>
          <w:color w:val="1F497D" w:themeColor="text2"/>
          <w:sz w:val="22"/>
          <w:szCs w:val="22"/>
        </w:rPr>
        <w:t>has requested a review of the Hardship Policy to ensure the proposed special rate variation does not have a negative impact on lower socio-economic groups.</w:t>
      </w:r>
    </w:p>
    <w:p w:rsidR="00182B6F" w:rsidRDefault="00182B6F" w:rsidP="00182B6F">
      <w:pPr>
        <w:pStyle w:val="BodyText"/>
        <w:spacing w:before="0"/>
        <w:rPr>
          <w:rFonts w:asciiTheme="minorHAnsi" w:hAnsiTheme="minorHAnsi"/>
          <w:color w:val="1F497D" w:themeColor="text2"/>
          <w:sz w:val="22"/>
          <w:szCs w:val="22"/>
        </w:rPr>
      </w:pPr>
    </w:p>
    <w:p w:rsidR="003075FE" w:rsidRDefault="003075FE" w:rsidP="00182B6F">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An amendment to this policy is proposed for consideration by Council at its meeting 10 March 2014. The amendmen</w:t>
      </w:r>
      <w:r w:rsidR="00E32C3F">
        <w:rPr>
          <w:rFonts w:asciiTheme="minorHAnsi" w:hAnsiTheme="minorHAnsi"/>
          <w:color w:val="1F497D" w:themeColor="text2"/>
          <w:sz w:val="22"/>
          <w:szCs w:val="22"/>
        </w:rPr>
        <w:t>t encompasses the insertion of the following</w:t>
      </w:r>
      <w:r>
        <w:rPr>
          <w:rFonts w:asciiTheme="minorHAnsi" w:hAnsiTheme="minorHAnsi"/>
          <w:color w:val="1F497D" w:themeColor="text2"/>
          <w:sz w:val="22"/>
          <w:szCs w:val="22"/>
        </w:rPr>
        <w:t xml:space="preserve"> clause</w:t>
      </w:r>
    </w:p>
    <w:p w:rsidR="00E32C3F" w:rsidRDefault="00E32C3F" w:rsidP="00182B6F">
      <w:pPr>
        <w:pStyle w:val="BodyText"/>
        <w:spacing w:before="0"/>
        <w:rPr>
          <w:rFonts w:asciiTheme="minorHAnsi" w:hAnsiTheme="minorHAnsi"/>
          <w:color w:val="1F497D" w:themeColor="text2"/>
          <w:sz w:val="22"/>
          <w:szCs w:val="22"/>
        </w:rPr>
      </w:pPr>
    </w:p>
    <w:p w:rsidR="00E32C3F" w:rsidRPr="00E32C3F" w:rsidRDefault="00E32C3F" w:rsidP="00E32C3F">
      <w:pPr>
        <w:rPr>
          <w:rFonts w:asciiTheme="minorHAnsi" w:hAnsiTheme="minorHAnsi"/>
          <w:i/>
          <w:iCs/>
          <w:color w:val="1F497D" w:themeColor="text2"/>
          <w:sz w:val="22"/>
          <w:szCs w:val="22"/>
        </w:rPr>
      </w:pPr>
      <w:r w:rsidRPr="00E32C3F">
        <w:rPr>
          <w:rFonts w:asciiTheme="minorHAnsi" w:hAnsiTheme="minorHAnsi"/>
          <w:i/>
          <w:iCs/>
          <w:color w:val="1F497D" w:themeColor="text2"/>
          <w:sz w:val="22"/>
          <w:szCs w:val="22"/>
        </w:rPr>
        <w:t xml:space="preserve">Any ratepayer who incurs a rate increase resulting from the implementation of a special rates variation can apply to Council for rate relief if the increase in the amount of rates payable would cause them substantial hardship. </w:t>
      </w:r>
    </w:p>
    <w:p w:rsidR="003075FE" w:rsidRDefault="003075FE" w:rsidP="00182B6F">
      <w:pPr>
        <w:pStyle w:val="BodyText"/>
        <w:spacing w:before="0"/>
        <w:rPr>
          <w:rFonts w:asciiTheme="minorHAnsi" w:hAnsiTheme="minorHAnsi"/>
          <w:color w:val="1F497D" w:themeColor="text2"/>
          <w:sz w:val="22"/>
          <w:szCs w:val="22"/>
        </w:rPr>
      </w:pPr>
    </w:p>
    <w:p w:rsidR="003075FE" w:rsidRDefault="003075FE" w:rsidP="00182B6F">
      <w:pPr>
        <w:pStyle w:val="BodyText"/>
        <w:spacing w:before="0"/>
        <w:rPr>
          <w:rFonts w:asciiTheme="minorHAnsi" w:hAnsiTheme="minorHAnsi"/>
          <w:color w:val="1F497D" w:themeColor="text2"/>
          <w:sz w:val="22"/>
          <w:szCs w:val="22"/>
        </w:rPr>
      </w:pPr>
      <w:r>
        <w:rPr>
          <w:rFonts w:asciiTheme="minorHAnsi" w:hAnsiTheme="minorHAnsi"/>
          <w:color w:val="1F497D" w:themeColor="text2"/>
          <w:sz w:val="22"/>
          <w:szCs w:val="22"/>
        </w:rPr>
        <w:t>Council will include reference in its Operational Plan to this policy.</w:t>
      </w:r>
    </w:p>
    <w:p w:rsidR="003075FE" w:rsidRPr="008D7C80" w:rsidRDefault="003075FE" w:rsidP="00182B6F">
      <w:pPr>
        <w:pStyle w:val="BodyText"/>
        <w:spacing w:before="0"/>
        <w:rPr>
          <w:rFonts w:asciiTheme="minorHAnsi" w:hAnsiTheme="minorHAnsi"/>
          <w:color w:val="1F497D" w:themeColor="text2"/>
          <w:sz w:val="22"/>
          <w:szCs w:val="22"/>
        </w:rPr>
      </w:pPr>
    </w:p>
    <w:p w:rsidR="00182B6F" w:rsidRPr="008D7C80" w:rsidRDefault="00182B6F" w:rsidP="00182B6F">
      <w:pPr>
        <w:rPr>
          <w:rFonts w:asciiTheme="minorHAnsi" w:hAnsiTheme="minorHAnsi"/>
          <w:color w:val="1F497D" w:themeColor="text2"/>
          <w:sz w:val="22"/>
          <w:szCs w:val="22"/>
        </w:rPr>
      </w:pPr>
      <w:r w:rsidRPr="008D7C80">
        <w:rPr>
          <w:rFonts w:asciiTheme="minorHAnsi" w:hAnsiTheme="minorHAnsi"/>
          <w:color w:val="1F497D" w:themeColor="text2"/>
          <w:sz w:val="22"/>
          <w:szCs w:val="22"/>
        </w:rPr>
        <w:t>Blayney Shire Council also encourages ratepayers to contact Council directly in relation to hardship and addresses each case on a case by case basis. We offer a number of repayment plans and options to ratepayers who require them. Our preference is to deal with ratepayers under financial stress as individuals rather than a blanket formula. The Local Government Act sets very clear rules around what Councils are and are not allowed to do in relation to the treatment of rating hardships.</w:t>
      </w:r>
    </w:p>
    <w:p w:rsidR="00182B6F" w:rsidRPr="008D7C80" w:rsidRDefault="00182B6F" w:rsidP="00182B6F">
      <w:pPr>
        <w:pStyle w:val="BodyText"/>
        <w:spacing w:before="0"/>
        <w:rPr>
          <w:rFonts w:asciiTheme="minorHAnsi" w:hAnsiTheme="minorHAnsi"/>
          <w:color w:val="1F497D" w:themeColor="text2"/>
          <w:sz w:val="22"/>
          <w:szCs w:val="22"/>
        </w:rPr>
      </w:pPr>
    </w:p>
    <w:p w:rsidR="00086785" w:rsidRDefault="00AE40AA" w:rsidP="00A26E62">
      <w:pPr>
        <w:pStyle w:val="Heading1"/>
        <w:spacing w:before="0"/>
        <w:ind w:left="720" w:hanging="720"/>
      </w:pPr>
      <w:bookmarkStart w:id="34" w:name="_Toc380956901"/>
      <w:r>
        <w:lastRenderedPageBreak/>
        <w:t>Assessment c</w:t>
      </w:r>
      <w:r w:rsidR="00B82030">
        <w:t xml:space="preserve">riterion 4: </w:t>
      </w:r>
      <w:r w:rsidR="000431EA">
        <w:t xml:space="preserve">  </w:t>
      </w:r>
      <w:r w:rsidR="00E815A0">
        <w:t>A</w:t>
      </w:r>
      <w:r w:rsidR="00BE1777">
        <w:t xml:space="preserve">ssumptions in </w:t>
      </w:r>
      <w:r w:rsidR="00086785">
        <w:t>Delivery Program and L</w:t>
      </w:r>
      <w:r w:rsidR="00BE1777">
        <w:t>TFP</w:t>
      </w:r>
      <w:bookmarkEnd w:id="34"/>
    </w:p>
    <w:p w:rsidR="00AE40AA" w:rsidRPr="00B606B0" w:rsidRDefault="00AE40AA" w:rsidP="00AE40AA">
      <w:pPr>
        <w:pStyle w:val="BodyText"/>
        <w:spacing w:after="240"/>
      </w:pPr>
      <w:r>
        <w:t>The DLG Guidelines state this criterion as follows:</w:t>
      </w:r>
    </w:p>
    <w:p w:rsidR="00600721" w:rsidRPr="00462EAF" w:rsidRDefault="00600721" w:rsidP="00AE40AA">
      <w:pPr>
        <w:pStyle w:val="BodyText"/>
        <w:spacing w:before="0" w:line="276" w:lineRule="auto"/>
        <w:ind w:left="284"/>
        <w:rPr>
          <w:rFonts w:ascii="Arial" w:hAnsi="Arial" w:cs="Arial"/>
          <w:i/>
          <w:sz w:val="20"/>
          <w:szCs w:val="20"/>
        </w:rPr>
      </w:pPr>
      <w:r w:rsidRPr="00462EAF">
        <w:rPr>
          <w:rFonts w:ascii="Arial" w:hAnsi="Arial" w:cs="Arial"/>
          <w:i/>
          <w:sz w:val="20"/>
          <w:szCs w:val="20"/>
        </w:rPr>
        <w:t>The proposed Delivery Program and Long Term Financial Plan must show evidence of realistic assumptions.</w:t>
      </w:r>
    </w:p>
    <w:p w:rsidR="009B45D5" w:rsidRDefault="004A615D" w:rsidP="00FE570E">
      <w:pPr>
        <w:pStyle w:val="BodyText"/>
        <w:rPr>
          <w:rFonts w:cs="Arial"/>
          <w:color w:val="000000"/>
        </w:rPr>
      </w:pPr>
      <w:r>
        <w:rPr>
          <w:rFonts w:cs="Arial"/>
          <w:color w:val="000000"/>
        </w:rPr>
        <w:t xml:space="preserve">Summarise below </w:t>
      </w:r>
      <w:r w:rsidR="00462EAF">
        <w:rPr>
          <w:rFonts w:cs="Arial"/>
          <w:color w:val="000000"/>
        </w:rPr>
        <w:t>the</w:t>
      </w:r>
      <w:r>
        <w:rPr>
          <w:rFonts w:cs="Arial"/>
          <w:color w:val="000000"/>
        </w:rPr>
        <w:t xml:space="preserve"> key as</w:t>
      </w:r>
      <w:r w:rsidR="00462EAF">
        <w:rPr>
          <w:rFonts w:cs="Arial"/>
          <w:color w:val="000000"/>
        </w:rPr>
        <w:t xml:space="preserve">sumptions </w:t>
      </w:r>
      <w:r w:rsidR="00462EAF" w:rsidRPr="00F9339E">
        <w:rPr>
          <w:rFonts w:cs="Arial"/>
          <w:color w:val="000000"/>
        </w:rPr>
        <w:t>adopted by the council</w:t>
      </w:r>
      <w:r w:rsidR="00462EAF">
        <w:rPr>
          <w:rFonts w:cs="Arial"/>
          <w:color w:val="000000"/>
        </w:rPr>
        <w:t xml:space="preserve"> </w:t>
      </w:r>
      <w:r>
        <w:rPr>
          <w:rFonts w:cs="Arial"/>
          <w:color w:val="000000"/>
        </w:rPr>
        <w:t xml:space="preserve">and indicate where they are set out in your Delivery Plan and LTFP.   </w:t>
      </w:r>
      <w:r w:rsidR="00F9339E">
        <w:rPr>
          <w:rFonts w:cs="Arial"/>
          <w:color w:val="000000"/>
        </w:rPr>
        <w:t>We will need to assess whether the assumptions are realistic</w:t>
      </w:r>
      <w:r>
        <w:rPr>
          <w:rFonts w:cs="Arial"/>
          <w:color w:val="000000"/>
        </w:rPr>
        <w:t xml:space="preserve">.  </w:t>
      </w:r>
      <w:r w:rsidR="00AE40AA">
        <w:rPr>
          <w:rFonts w:cs="Arial"/>
          <w:color w:val="000000"/>
        </w:rPr>
        <w:t xml:space="preserve">For your </w:t>
      </w:r>
      <w:r>
        <w:rPr>
          <w:rFonts w:cs="Arial"/>
          <w:color w:val="000000"/>
        </w:rPr>
        <w:t>info</w:t>
      </w:r>
      <w:r w:rsidR="00AE40AA">
        <w:rPr>
          <w:rFonts w:cs="Arial"/>
          <w:color w:val="000000"/>
        </w:rPr>
        <w:t>rmation, w</w:t>
      </w:r>
      <w:r w:rsidR="00BE1777">
        <w:rPr>
          <w:rFonts w:cs="Arial"/>
          <w:color w:val="000000"/>
        </w:rPr>
        <w:t xml:space="preserve">e will consider such </w:t>
      </w:r>
      <w:r w:rsidR="00AE40AA">
        <w:rPr>
          <w:rFonts w:cs="Arial"/>
          <w:color w:val="000000"/>
        </w:rPr>
        <w:t>matters</w:t>
      </w:r>
      <w:r w:rsidR="00BE1777">
        <w:rPr>
          <w:rFonts w:cs="Arial"/>
          <w:color w:val="000000"/>
        </w:rPr>
        <w:t xml:space="preserve"> as:</w:t>
      </w:r>
    </w:p>
    <w:p w:rsidR="00A64F4F" w:rsidRDefault="00A64F4F" w:rsidP="00A64F4F">
      <w:pPr>
        <w:pStyle w:val="ListBullet"/>
      </w:pPr>
      <w:r>
        <w:t>the</w:t>
      </w:r>
      <w:r w:rsidR="00062097">
        <w:t xml:space="preserve"> proposed scope and level of service delivery</w:t>
      </w:r>
      <w:r w:rsidR="00472674">
        <w:t xml:space="preserve"> </w:t>
      </w:r>
      <w:r w:rsidR="009B45D5">
        <w:t xml:space="preserve">given </w:t>
      </w:r>
      <w:r w:rsidR="008F12F0">
        <w:t xml:space="preserve">the council’s </w:t>
      </w:r>
      <w:r w:rsidR="009B45D5">
        <w:t>financ</w:t>
      </w:r>
      <w:r w:rsidR="0021564D">
        <w:t xml:space="preserve">ial </w:t>
      </w:r>
      <w:r w:rsidR="00180D49">
        <w:t>outlook</w:t>
      </w:r>
      <w:r w:rsidR="009B45D5">
        <w:t xml:space="preserve"> and </w:t>
      </w:r>
      <w:r w:rsidR="00016E8B">
        <w:t xml:space="preserve">the </w:t>
      </w:r>
      <w:r w:rsidR="009B45D5">
        <w:t>community</w:t>
      </w:r>
      <w:r w:rsidR="00016E8B">
        <w:t>’s</w:t>
      </w:r>
      <w:r w:rsidR="009B45D5">
        <w:t xml:space="preserve"> priorities</w:t>
      </w:r>
    </w:p>
    <w:p w:rsidR="00A64F4F" w:rsidRDefault="00016E8B" w:rsidP="00A64F4F">
      <w:pPr>
        <w:pStyle w:val="ListBullet"/>
      </w:pPr>
      <w:r>
        <w:t xml:space="preserve">estimates of </w:t>
      </w:r>
      <w:r w:rsidR="000931B6">
        <w:t>specific program or project cost</w:t>
      </w:r>
      <w:r>
        <w:t>s</w:t>
      </w:r>
    </w:p>
    <w:p w:rsidR="00FE570E" w:rsidRDefault="00392F59" w:rsidP="00A64F4F">
      <w:pPr>
        <w:pStyle w:val="ListBullet"/>
      </w:pPr>
      <w:proofErr w:type="gramStart"/>
      <w:r>
        <w:t>project</w:t>
      </w:r>
      <w:r w:rsidR="00BE1777">
        <w:t>ions</w:t>
      </w:r>
      <w:proofErr w:type="gramEnd"/>
      <w:r w:rsidR="00BE1777">
        <w:t xml:space="preserve"> of the various revenue and cost</w:t>
      </w:r>
      <w:r w:rsidR="00ED7908">
        <w:t xml:space="preserve"> components</w:t>
      </w:r>
      <w:r w:rsidR="00AE40AA">
        <w:t>.</w:t>
      </w:r>
    </w:p>
    <w:p w:rsidR="00A36FAF" w:rsidRDefault="00AE40AA" w:rsidP="00FE570E">
      <w:pPr>
        <w:pStyle w:val="BodyText"/>
        <w:rPr>
          <w:rFonts w:cs="Arial"/>
          <w:color w:val="000000"/>
        </w:rPr>
      </w:pPr>
      <w:r>
        <w:rPr>
          <w:rFonts w:cs="Arial"/>
          <w:color w:val="000000"/>
        </w:rPr>
        <w:t xml:space="preserve">To </w:t>
      </w:r>
      <w:r w:rsidR="004A615D">
        <w:rPr>
          <w:rFonts w:cs="Arial"/>
          <w:color w:val="000000"/>
        </w:rPr>
        <w:t xml:space="preserve">also </w:t>
      </w:r>
      <w:r>
        <w:rPr>
          <w:rFonts w:cs="Arial"/>
          <w:color w:val="000000"/>
        </w:rPr>
        <w:t xml:space="preserve">assist us, </w:t>
      </w:r>
      <w:r w:rsidR="00DA5795">
        <w:rPr>
          <w:rFonts w:cs="Arial"/>
          <w:color w:val="000000"/>
        </w:rPr>
        <w:t>i</w:t>
      </w:r>
      <w:r w:rsidR="00A64F4F">
        <w:rPr>
          <w:rFonts w:cs="Arial"/>
          <w:color w:val="000000"/>
        </w:rPr>
        <w:t>dentify any</w:t>
      </w:r>
      <w:r w:rsidR="00225437">
        <w:rPr>
          <w:rFonts w:cs="Arial"/>
          <w:color w:val="000000"/>
        </w:rPr>
        <w:t xml:space="preserve"> </w:t>
      </w:r>
      <w:r w:rsidR="00DA5795">
        <w:rPr>
          <w:rFonts w:cs="Arial"/>
          <w:color w:val="000000"/>
        </w:rPr>
        <w:t xml:space="preserve">in-house </w:t>
      </w:r>
      <w:r w:rsidR="00DA5795" w:rsidRPr="00217059">
        <w:t>feasibility work</w:t>
      </w:r>
      <w:r w:rsidR="00DA5795">
        <w:t>,</w:t>
      </w:r>
      <w:r w:rsidR="00DA5795">
        <w:rPr>
          <w:rFonts w:cs="Arial"/>
          <w:color w:val="000000"/>
        </w:rPr>
        <w:t xml:space="preserve"> </w:t>
      </w:r>
      <w:r w:rsidR="00225437">
        <w:rPr>
          <w:rFonts w:cs="Arial"/>
          <w:color w:val="000000"/>
        </w:rPr>
        <w:t>industry b</w:t>
      </w:r>
      <w:r w:rsidR="00A64F4F">
        <w:rPr>
          <w:rFonts w:cs="Arial"/>
          <w:color w:val="000000"/>
        </w:rPr>
        <w:t>en</w:t>
      </w:r>
      <w:r w:rsidR="00225437">
        <w:rPr>
          <w:rFonts w:cs="Arial"/>
          <w:color w:val="000000"/>
        </w:rPr>
        <w:t>chmarks</w:t>
      </w:r>
      <w:r w:rsidR="00BE1777">
        <w:rPr>
          <w:rFonts w:cs="Arial"/>
          <w:color w:val="000000"/>
        </w:rPr>
        <w:t xml:space="preserve"> </w:t>
      </w:r>
      <w:r w:rsidR="00A64F4F">
        <w:rPr>
          <w:rFonts w:cs="Arial"/>
          <w:color w:val="000000"/>
        </w:rPr>
        <w:t xml:space="preserve">or </w:t>
      </w:r>
      <w:r w:rsidR="00225437">
        <w:rPr>
          <w:rFonts w:cs="Arial"/>
          <w:color w:val="000000"/>
        </w:rPr>
        <w:t xml:space="preserve">independent </w:t>
      </w:r>
      <w:r w:rsidR="00DA5795">
        <w:rPr>
          <w:rFonts w:cs="Arial"/>
          <w:color w:val="000000"/>
        </w:rPr>
        <w:t>reviews</w:t>
      </w:r>
      <w:r w:rsidR="00225437">
        <w:rPr>
          <w:rFonts w:cs="Arial"/>
          <w:color w:val="000000"/>
        </w:rPr>
        <w:t xml:space="preserve"> that </w:t>
      </w:r>
      <w:r w:rsidR="008F12F0">
        <w:rPr>
          <w:rFonts w:cs="Arial"/>
          <w:color w:val="000000"/>
        </w:rPr>
        <w:t xml:space="preserve">have been </w:t>
      </w:r>
      <w:r w:rsidR="00BE1777">
        <w:rPr>
          <w:rFonts w:cs="Arial"/>
          <w:color w:val="000000"/>
        </w:rPr>
        <w:t>used</w:t>
      </w:r>
      <w:r w:rsidR="00AC5D84">
        <w:rPr>
          <w:rFonts w:cs="Arial"/>
          <w:color w:val="000000"/>
        </w:rPr>
        <w:t xml:space="preserve"> </w:t>
      </w:r>
      <w:r w:rsidR="00DA5795">
        <w:rPr>
          <w:rFonts w:cs="Arial"/>
          <w:color w:val="000000"/>
        </w:rPr>
        <w:t>to</w:t>
      </w:r>
      <w:r w:rsidR="00AC5D84">
        <w:rPr>
          <w:rFonts w:cs="Arial"/>
          <w:color w:val="000000"/>
        </w:rPr>
        <w:t xml:space="preserve"> develop </w:t>
      </w:r>
      <w:r w:rsidR="00BE1777">
        <w:rPr>
          <w:rFonts w:cs="Arial"/>
          <w:color w:val="000000"/>
        </w:rPr>
        <w:t xml:space="preserve">assumptions </w:t>
      </w:r>
      <w:r w:rsidR="00DA5795">
        <w:rPr>
          <w:rFonts w:cs="Arial"/>
          <w:color w:val="000000"/>
        </w:rPr>
        <w:t>in the</w:t>
      </w:r>
      <w:r w:rsidR="00BE1777">
        <w:rPr>
          <w:rFonts w:cs="Arial"/>
          <w:color w:val="000000"/>
        </w:rPr>
        <w:t xml:space="preserve"> Delivery Program and LTFP</w:t>
      </w:r>
      <w:r>
        <w:rPr>
          <w:rFonts w:cs="Arial"/>
          <w:color w:val="000000"/>
        </w:rPr>
        <w:t xml:space="preserve"> if these are not stated in those documents</w:t>
      </w:r>
      <w:r w:rsidR="00BE1777">
        <w:rPr>
          <w:rFonts w:cs="Arial"/>
          <w:color w:val="000000"/>
        </w:rPr>
        <w:t>.</w:t>
      </w:r>
    </w:p>
    <w:p w:rsidR="00DE461E" w:rsidRPr="00C8115C" w:rsidRDefault="00DE461E" w:rsidP="00DE461E">
      <w:pPr>
        <w:rPr>
          <w:rFonts w:asciiTheme="minorHAnsi" w:hAnsiTheme="minorHAnsi"/>
          <w:b/>
          <w:sz w:val="22"/>
          <w:szCs w:val="22"/>
        </w:rPr>
      </w:pPr>
    </w:p>
    <w:p w:rsidR="00DE461E" w:rsidRPr="00C8115C" w:rsidRDefault="00DE461E" w:rsidP="00DE461E">
      <w:pPr>
        <w:rPr>
          <w:rFonts w:asciiTheme="minorHAnsi" w:hAnsiTheme="minorHAnsi"/>
          <w:b/>
          <w:color w:val="1F497D" w:themeColor="text2"/>
          <w:sz w:val="22"/>
          <w:szCs w:val="22"/>
        </w:rPr>
      </w:pPr>
      <w:r w:rsidRPr="00C8115C">
        <w:rPr>
          <w:rFonts w:asciiTheme="minorHAnsi" w:hAnsiTheme="minorHAnsi"/>
          <w:b/>
          <w:color w:val="1F497D" w:themeColor="text2"/>
          <w:sz w:val="22"/>
          <w:szCs w:val="22"/>
        </w:rPr>
        <w:t>Response:</w:t>
      </w:r>
    </w:p>
    <w:p w:rsidR="00F17129" w:rsidRPr="00C8115C" w:rsidRDefault="00F17129" w:rsidP="00F17129">
      <w:pPr>
        <w:rPr>
          <w:rFonts w:asciiTheme="minorHAnsi" w:eastAsia="Calibri" w:hAnsiTheme="minorHAnsi" w:cs="Arial"/>
          <w:color w:val="1F497D" w:themeColor="text2"/>
          <w:sz w:val="22"/>
          <w:szCs w:val="22"/>
        </w:rPr>
      </w:pPr>
    </w:p>
    <w:p w:rsidR="00F17129" w:rsidRPr="00C8115C" w:rsidRDefault="00C8115C" w:rsidP="00F17129">
      <w:pPr>
        <w:rPr>
          <w:rFonts w:asciiTheme="minorHAnsi" w:eastAsia="Calibri" w:hAnsiTheme="minorHAnsi" w:cs="Arial"/>
          <w:color w:val="1F497D" w:themeColor="text2"/>
          <w:sz w:val="22"/>
          <w:szCs w:val="22"/>
        </w:rPr>
      </w:pPr>
      <w:r w:rsidRPr="00C8115C">
        <w:rPr>
          <w:rFonts w:asciiTheme="minorHAnsi" w:eastAsia="Calibri" w:hAnsiTheme="minorHAnsi" w:cs="Arial"/>
          <w:color w:val="1F497D" w:themeColor="text2"/>
          <w:sz w:val="22"/>
          <w:szCs w:val="22"/>
        </w:rPr>
        <w:t>ASSUMPTIONS IN DELIVERY PROGRAM AND LTFP</w:t>
      </w:r>
    </w:p>
    <w:p w:rsidR="00F17129" w:rsidRPr="000B7516" w:rsidRDefault="00F17129" w:rsidP="00F17129">
      <w:pPr>
        <w:rPr>
          <w:rFonts w:asciiTheme="minorHAnsi" w:eastAsia="Calibri" w:hAnsiTheme="minorHAnsi" w:cs="Arial"/>
          <w:color w:val="1F497D" w:themeColor="text2"/>
          <w:sz w:val="22"/>
          <w:szCs w:val="22"/>
        </w:rPr>
      </w:pPr>
      <w:r w:rsidRPr="000B7516">
        <w:rPr>
          <w:rFonts w:asciiTheme="minorHAnsi" w:eastAsia="Calibri" w:hAnsiTheme="minorHAnsi" w:cs="Arial"/>
          <w:color w:val="1F497D" w:themeColor="text2"/>
          <w:sz w:val="22"/>
          <w:szCs w:val="22"/>
        </w:rPr>
        <w:t xml:space="preserve">The following table have been extracted from Council’s 2014-2024 Long Term Financial </w:t>
      </w:r>
      <w:proofErr w:type="gramStart"/>
      <w:r w:rsidRPr="000B7516">
        <w:rPr>
          <w:rFonts w:asciiTheme="minorHAnsi" w:eastAsia="Calibri" w:hAnsiTheme="minorHAnsi" w:cs="Arial"/>
          <w:color w:val="1F497D" w:themeColor="text2"/>
          <w:sz w:val="22"/>
          <w:szCs w:val="22"/>
        </w:rPr>
        <w:t>Plan</w:t>
      </w:r>
      <w:proofErr w:type="gramEnd"/>
      <w:r w:rsidRPr="000B7516">
        <w:rPr>
          <w:rFonts w:asciiTheme="minorHAnsi" w:eastAsia="Calibri" w:hAnsiTheme="minorHAnsi" w:cs="Arial"/>
          <w:color w:val="1F497D" w:themeColor="text2"/>
          <w:sz w:val="22"/>
          <w:szCs w:val="22"/>
        </w:rPr>
        <w:t>. The assumptions are based on both historical trends and industry forecasts.</w:t>
      </w:r>
    </w:p>
    <w:p w:rsidR="00F17129" w:rsidRPr="000B7516" w:rsidRDefault="00F17129" w:rsidP="00F17129">
      <w:pPr>
        <w:rPr>
          <w:rFonts w:asciiTheme="minorHAnsi" w:eastAsia="Calibri" w:hAnsiTheme="minorHAnsi" w:cs="Arial"/>
          <w:color w:val="1F497D" w:themeColor="text2"/>
          <w:sz w:val="22"/>
          <w:szCs w:val="22"/>
        </w:rPr>
      </w:pP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1"/>
        <w:gridCol w:w="4200"/>
        <w:gridCol w:w="1527"/>
      </w:tblGrid>
      <w:tr w:rsidR="00F17129" w:rsidRPr="000B7516" w:rsidTr="00CC2868">
        <w:trPr>
          <w:trHeight w:val="346"/>
        </w:trPr>
        <w:tc>
          <w:tcPr>
            <w:tcW w:w="3391" w:type="dxa"/>
            <w:shd w:val="clear" w:color="auto" w:fill="auto"/>
            <w:vAlign w:val="center"/>
          </w:tcPr>
          <w:p w:rsidR="00F17129" w:rsidRPr="000B7516" w:rsidRDefault="00F17129" w:rsidP="00CC2868">
            <w:pP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Assumption/Variable</w:t>
            </w:r>
          </w:p>
        </w:tc>
        <w:tc>
          <w:tcPr>
            <w:tcW w:w="4200"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Calculation Basis</w:t>
            </w:r>
          </w:p>
        </w:tc>
        <w:tc>
          <w:tcPr>
            <w:tcW w:w="1527"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LTFP %</w:t>
            </w:r>
          </w:p>
        </w:tc>
      </w:tr>
      <w:tr w:rsidR="00F17129" w:rsidRPr="000B7516" w:rsidTr="00CC2868">
        <w:trPr>
          <w:trHeight w:val="545"/>
        </w:trPr>
        <w:tc>
          <w:tcPr>
            <w:tcW w:w="3391"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Consumer Price Index (CPI)</w:t>
            </w:r>
          </w:p>
        </w:tc>
        <w:tc>
          <w:tcPr>
            <w:tcW w:w="4200"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NSW Treasury Corporation Forecasts</w:t>
            </w:r>
          </w:p>
        </w:tc>
        <w:tc>
          <w:tcPr>
            <w:tcW w:w="1527"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2.50%</w:t>
            </w:r>
          </w:p>
        </w:tc>
      </w:tr>
      <w:tr w:rsidR="00F17129" w:rsidRPr="000B7516" w:rsidTr="00CC2868">
        <w:trPr>
          <w:trHeight w:val="555"/>
        </w:trPr>
        <w:tc>
          <w:tcPr>
            <w:tcW w:w="3391"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 xml:space="preserve">Salaries and Employee </w:t>
            </w:r>
            <w:proofErr w:type="spellStart"/>
            <w:r w:rsidRPr="000B7516">
              <w:rPr>
                <w:rFonts w:asciiTheme="minorHAnsi" w:hAnsiTheme="minorHAnsi" w:cs="Arial"/>
                <w:color w:val="1F497D" w:themeColor="text2"/>
                <w:sz w:val="22"/>
                <w:szCs w:val="22"/>
              </w:rPr>
              <w:t>Oncosts</w:t>
            </w:r>
            <w:proofErr w:type="spellEnd"/>
          </w:p>
        </w:tc>
        <w:tc>
          <w:tcPr>
            <w:tcW w:w="4200"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Award increase 2.75% and performance based increases 0.75%</w:t>
            </w:r>
          </w:p>
        </w:tc>
        <w:tc>
          <w:tcPr>
            <w:tcW w:w="1527"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3.50%</w:t>
            </w:r>
          </w:p>
        </w:tc>
      </w:tr>
      <w:tr w:rsidR="00F17129" w:rsidRPr="000B7516" w:rsidTr="00CC2868">
        <w:trPr>
          <w:trHeight w:val="531"/>
        </w:trPr>
        <w:tc>
          <w:tcPr>
            <w:tcW w:w="3391"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Interest Rate Income</w:t>
            </w:r>
          </w:p>
        </w:tc>
        <w:tc>
          <w:tcPr>
            <w:tcW w:w="4200"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90 day BBSW + 0.5%</w:t>
            </w:r>
          </w:p>
        </w:tc>
        <w:tc>
          <w:tcPr>
            <w:tcW w:w="1527"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3.75% - 5.25%</w:t>
            </w:r>
          </w:p>
        </w:tc>
      </w:tr>
      <w:tr w:rsidR="00F17129" w:rsidRPr="000B7516" w:rsidTr="00CC2868">
        <w:trPr>
          <w:trHeight w:val="555"/>
        </w:trPr>
        <w:tc>
          <w:tcPr>
            <w:tcW w:w="3391"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Rate Pegging (General Rates Income)</w:t>
            </w:r>
          </w:p>
        </w:tc>
        <w:tc>
          <w:tcPr>
            <w:tcW w:w="4200"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Independent Pricing and Regulatory Tribunal (IPART) and Dept. Local Government Figures</w:t>
            </w:r>
          </w:p>
        </w:tc>
        <w:tc>
          <w:tcPr>
            <w:tcW w:w="1527"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2.3% - 14/15 3.00% - (Years 2-10)</w:t>
            </w:r>
          </w:p>
        </w:tc>
      </w:tr>
      <w:tr w:rsidR="00F17129" w:rsidRPr="000B7516" w:rsidTr="00CC2868">
        <w:trPr>
          <w:trHeight w:val="555"/>
        </w:trPr>
        <w:tc>
          <w:tcPr>
            <w:tcW w:w="3391"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Sewer Rates Income*</w:t>
            </w:r>
          </w:p>
        </w:tc>
        <w:tc>
          <w:tcPr>
            <w:tcW w:w="4200"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NSW Public Works</w:t>
            </w:r>
          </w:p>
        </w:tc>
        <w:tc>
          <w:tcPr>
            <w:tcW w:w="1527"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 xml:space="preserve">3.00% - 6.65% </w:t>
            </w:r>
          </w:p>
        </w:tc>
      </w:tr>
      <w:tr w:rsidR="00F17129" w:rsidRPr="000B7516" w:rsidTr="00CC2868">
        <w:trPr>
          <w:trHeight w:val="531"/>
        </w:trPr>
        <w:tc>
          <w:tcPr>
            <w:tcW w:w="3391"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Waste Charges Income</w:t>
            </w:r>
          </w:p>
        </w:tc>
        <w:tc>
          <w:tcPr>
            <w:tcW w:w="4200"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Based on reasonable cost estimates</w:t>
            </w:r>
          </w:p>
        </w:tc>
        <w:tc>
          <w:tcPr>
            <w:tcW w:w="1527"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8.50% - 14/15 3.00% - (Years 2-10)</w:t>
            </w:r>
          </w:p>
        </w:tc>
      </w:tr>
      <w:tr w:rsidR="00F17129" w:rsidRPr="000B7516" w:rsidTr="00CC2868">
        <w:trPr>
          <w:trHeight w:val="578"/>
        </w:trPr>
        <w:tc>
          <w:tcPr>
            <w:tcW w:w="3391"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Fees and Charges Income</w:t>
            </w:r>
          </w:p>
        </w:tc>
        <w:tc>
          <w:tcPr>
            <w:tcW w:w="4200" w:type="dxa"/>
            <w:shd w:val="clear" w:color="auto" w:fill="auto"/>
            <w:vAlign w:val="center"/>
          </w:tcPr>
          <w:p w:rsidR="00F17129" w:rsidRPr="000B7516" w:rsidRDefault="00F17129" w:rsidP="00CC2868">
            <w:pPr>
              <w:rPr>
                <w:rFonts w:asciiTheme="minorHAnsi" w:hAnsiTheme="minorHAnsi" w:cs="Arial"/>
                <w:color w:val="1F497D" w:themeColor="text2"/>
                <w:sz w:val="22"/>
                <w:szCs w:val="22"/>
              </w:rPr>
            </w:pPr>
            <w:r w:rsidRPr="000B7516">
              <w:rPr>
                <w:rFonts w:asciiTheme="minorHAnsi" w:hAnsiTheme="minorHAnsi" w:cs="Arial"/>
                <w:color w:val="1F497D" w:themeColor="text2"/>
                <w:sz w:val="22"/>
                <w:szCs w:val="22"/>
              </w:rPr>
              <w:t>As per wages above</w:t>
            </w:r>
          </w:p>
        </w:tc>
        <w:tc>
          <w:tcPr>
            <w:tcW w:w="1527" w:type="dxa"/>
            <w:shd w:val="clear" w:color="auto" w:fill="auto"/>
            <w:vAlign w:val="center"/>
          </w:tcPr>
          <w:p w:rsidR="00F17129" w:rsidRPr="000B7516" w:rsidRDefault="00F17129" w:rsidP="00CC2868">
            <w:pPr>
              <w:jc w:val="center"/>
              <w:rPr>
                <w:rFonts w:asciiTheme="minorHAnsi" w:hAnsiTheme="minorHAnsi" w:cs="Arial"/>
                <w:b/>
                <w:color w:val="1F497D" w:themeColor="text2"/>
                <w:sz w:val="22"/>
                <w:szCs w:val="22"/>
              </w:rPr>
            </w:pPr>
            <w:r w:rsidRPr="000B7516">
              <w:rPr>
                <w:rFonts w:asciiTheme="minorHAnsi" w:hAnsiTheme="minorHAnsi" w:cs="Arial"/>
                <w:b/>
                <w:color w:val="1F497D" w:themeColor="text2"/>
                <w:sz w:val="22"/>
                <w:szCs w:val="22"/>
              </w:rPr>
              <w:t>3.50%</w:t>
            </w:r>
          </w:p>
        </w:tc>
      </w:tr>
    </w:tbl>
    <w:p w:rsidR="00F17129" w:rsidRPr="000B7516" w:rsidRDefault="00F17129" w:rsidP="00F17129">
      <w:pPr>
        <w:tabs>
          <w:tab w:val="left" w:pos="2330"/>
        </w:tabs>
        <w:jc w:val="both"/>
        <w:rPr>
          <w:rFonts w:asciiTheme="minorHAnsi" w:eastAsia="Calibri" w:hAnsiTheme="minorHAnsi" w:cs="Arial"/>
          <w:i/>
          <w:color w:val="1F497D" w:themeColor="text2"/>
          <w:sz w:val="22"/>
          <w:szCs w:val="22"/>
        </w:rPr>
      </w:pPr>
    </w:p>
    <w:p w:rsidR="00F17129" w:rsidRPr="000B7516" w:rsidRDefault="00F17129" w:rsidP="00F17129">
      <w:pPr>
        <w:tabs>
          <w:tab w:val="left" w:pos="2330"/>
        </w:tabs>
        <w:jc w:val="both"/>
        <w:rPr>
          <w:rFonts w:asciiTheme="minorHAnsi" w:eastAsia="Calibri" w:hAnsiTheme="minorHAnsi" w:cs="Arial"/>
          <w:i/>
          <w:color w:val="1F497D" w:themeColor="text2"/>
          <w:sz w:val="22"/>
          <w:szCs w:val="22"/>
        </w:rPr>
      </w:pPr>
      <w:r w:rsidRPr="000B7516">
        <w:rPr>
          <w:rFonts w:asciiTheme="minorHAnsi" w:eastAsia="Calibri" w:hAnsiTheme="minorHAnsi" w:cs="Arial"/>
          <w:i/>
          <w:color w:val="1F497D" w:themeColor="text2"/>
          <w:sz w:val="22"/>
          <w:szCs w:val="22"/>
        </w:rPr>
        <w:t>*As referenced from Strategic Business Plan for Sewerage Service (Refer 3.2.1)</w:t>
      </w:r>
    </w:p>
    <w:p w:rsidR="00F17129" w:rsidRPr="000B7516" w:rsidRDefault="00F17129" w:rsidP="00F17129">
      <w:pPr>
        <w:rPr>
          <w:rFonts w:asciiTheme="minorHAnsi" w:eastAsia="Calibri" w:hAnsiTheme="minorHAnsi" w:cs="Arial"/>
          <w:color w:val="1F497D" w:themeColor="text2"/>
          <w:sz w:val="22"/>
          <w:szCs w:val="22"/>
        </w:rPr>
      </w:pPr>
    </w:p>
    <w:p w:rsidR="00F15DA3" w:rsidRDefault="00F15DA3">
      <w:pPr>
        <w:rPr>
          <w:rFonts w:asciiTheme="minorHAnsi" w:hAnsiTheme="minorHAnsi" w:cs="Arial"/>
          <w:color w:val="1F497D" w:themeColor="text2"/>
          <w:spacing w:val="-2"/>
          <w:kern w:val="22"/>
          <w:sz w:val="22"/>
          <w:szCs w:val="22"/>
        </w:rPr>
      </w:pPr>
      <w:r>
        <w:rPr>
          <w:rFonts w:asciiTheme="minorHAnsi" w:hAnsiTheme="minorHAnsi" w:cs="Arial"/>
          <w:color w:val="1F497D" w:themeColor="text2"/>
          <w:spacing w:val="-2"/>
          <w:kern w:val="22"/>
          <w:sz w:val="22"/>
          <w:szCs w:val="22"/>
        </w:rPr>
        <w:br w:type="page"/>
      </w:r>
    </w:p>
    <w:p w:rsidR="00F17129" w:rsidRPr="000B7516" w:rsidRDefault="00F17129" w:rsidP="00EE45C1">
      <w:pPr>
        <w:rPr>
          <w:rFonts w:asciiTheme="minorHAnsi" w:hAnsiTheme="minorHAnsi" w:cs="Arial"/>
          <w:color w:val="1F497D" w:themeColor="text2"/>
          <w:spacing w:val="-2"/>
          <w:kern w:val="22"/>
          <w:sz w:val="22"/>
          <w:szCs w:val="22"/>
        </w:rPr>
      </w:pPr>
      <w:r w:rsidRPr="000B7516">
        <w:rPr>
          <w:rFonts w:asciiTheme="minorHAnsi" w:hAnsiTheme="minorHAnsi" w:cs="Arial"/>
          <w:color w:val="1F497D" w:themeColor="text2"/>
          <w:spacing w:val="-2"/>
          <w:kern w:val="22"/>
          <w:sz w:val="22"/>
          <w:szCs w:val="22"/>
        </w:rPr>
        <w:lastRenderedPageBreak/>
        <w:t xml:space="preserve">Since the inception of IP&amp;R process Council’s LTFP has been independently reviewed by </w:t>
      </w:r>
      <w:proofErr w:type="spellStart"/>
      <w:r w:rsidRPr="000B7516">
        <w:rPr>
          <w:rFonts w:asciiTheme="minorHAnsi" w:hAnsiTheme="minorHAnsi" w:cs="Arial"/>
          <w:color w:val="1F497D" w:themeColor="text2"/>
          <w:spacing w:val="-2"/>
          <w:kern w:val="22"/>
          <w:sz w:val="22"/>
          <w:szCs w:val="22"/>
        </w:rPr>
        <w:t>TCorp</w:t>
      </w:r>
      <w:proofErr w:type="spellEnd"/>
      <w:r w:rsidRPr="000B7516">
        <w:rPr>
          <w:rFonts w:asciiTheme="minorHAnsi" w:hAnsiTheme="minorHAnsi" w:cs="Arial"/>
          <w:color w:val="1F497D" w:themeColor="text2"/>
          <w:spacing w:val="-2"/>
          <w:kern w:val="22"/>
          <w:sz w:val="22"/>
          <w:szCs w:val="22"/>
        </w:rPr>
        <w:t xml:space="preserve"> on an annual basis. </w:t>
      </w:r>
      <w:proofErr w:type="spellStart"/>
      <w:r w:rsidRPr="000B7516">
        <w:rPr>
          <w:rFonts w:asciiTheme="minorHAnsi" w:hAnsiTheme="minorHAnsi" w:cs="Arial"/>
          <w:color w:val="1F497D" w:themeColor="text2"/>
          <w:spacing w:val="-2"/>
          <w:kern w:val="22"/>
          <w:sz w:val="22"/>
          <w:szCs w:val="22"/>
        </w:rPr>
        <w:t>TCorp’s</w:t>
      </w:r>
      <w:proofErr w:type="spellEnd"/>
      <w:r w:rsidRPr="000B7516">
        <w:rPr>
          <w:rFonts w:asciiTheme="minorHAnsi" w:hAnsiTheme="minorHAnsi" w:cs="Arial"/>
          <w:color w:val="1F497D" w:themeColor="text2"/>
          <w:spacing w:val="-2"/>
          <w:kern w:val="22"/>
          <w:sz w:val="22"/>
          <w:szCs w:val="22"/>
        </w:rPr>
        <w:t xml:space="preserve"> comments regarding the assumptions used in the plans are as follows:</w:t>
      </w:r>
    </w:p>
    <w:p w:rsidR="00F17129" w:rsidRPr="000B7516" w:rsidRDefault="00F17129" w:rsidP="00EE45C1">
      <w:pPr>
        <w:ind w:firstLine="720"/>
        <w:rPr>
          <w:rFonts w:asciiTheme="minorHAnsi" w:hAnsiTheme="minorHAnsi" w:cs="Arial"/>
          <w:i/>
          <w:color w:val="1F497D" w:themeColor="text2"/>
          <w:spacing w:val="-2"/>
          <w:kern w:val="22"/>
          <w:sz w:val="22"/>
          <w:szCs w:val="22"/>
        </w:rPr>
      </w:pPr>
      <w:r w:rsidRPr="000B7516">
        <w:rPr>
          <w:rFonts w:asciiTheme="minorHAnsi" w:hAnsiTheme="minorHAnsi" w:cs="Arial"/>
          <w:i/>
          <w:color w:val="1F497D" w:themeColor="text2"/>
          <w:spacing w:val="-2"/>
          <w:kern w:val="22"/>
          <w:sz w:val="22"/>
          <w:szCs w:val="22"/>
        </w:rPr>
        <w:t>‘Council has used their own assumptions in developing their forecasts.</w:t>
      </w:r>
    </w:p>
    <w:p w:rsidR="00F17129" w:rsidRPr="000B7516" w:rsidRDefault="00F17129" w:rsidP="00EE45C1">
      <w:pPr>
        <w:ind w:left="720"/>
        <w:rPr>
          <w:rFonts w:asciiTheme="minorHAnsi" w:hAnsiTheme="minorHAnsi" w:cs="Arial"/>
          <w:i/>
          <w:color w:val="1F497D" w:themeColor="text2"/>
          <w:spacing w:val="-2"/>
          <w:kern w:val="22"/>
          <w:sz w:val="22"/>
          <w:szCs w:val="22"/>
        </w:rPr>
      </w:pPr>
      <w:r w:rsidRPr="000B7516">
        <w:rPr>
          <w:rFonts w:asciiTheme="minorHAnsi" w:hAnsiTheme="minorHAnsi" w:cs="Arial"/>
          <w:i/>
          <w:color w:val="1F497D" w:themeColor="text2"/>
          <w:spacing w:val="-2"/>
          <w:kern w:val="22"/>
          <w:sz w:val="22"/>
          <w:szCs w:val="22"/>
        </w:rPr>
        <w:t xml:space="preserve">In order to evaluate the validity of the Council’s forecast model, </w:t>
      </w:r>
      <w:proofErr w:type="spellStart"/>
      <w:r w:rsidRPr="000B7516">
        <w:rPr>
          <w:rFonts w:asciiTheme="minorHAnsi" w:hAnsiTheme="minorHAnsi" w:cs="Arial"/>
          <w:i/>
          <w:color w:val="1F497D" w:themeColor="text2"/>
          <w:spacing w:val="-2"/>
          <w:kern w:val="22"/>
          <w:sz w:val="22"/>
          <w:szCs w:val="22"/>
        </w:rPr>
        <w:t>TCorp</w:t>
      </w:r>
      <w:proofErr w:type="spellEnd"/>
      <w:r w:rsidRPr="000B7516">
        <w:rPr>
          <w:rFonts w:asciiTheme="minorHAnsi" w:hAnsiTheme="minorHAnsi" w:cs="Arial"/>
          <w:i/>
          <w:color w:val="1F497D" w:themeColor="text2"/>
          <w:spacing w:val="-2"/>
          <w:kern w:val="22"/>
          <w:sz w:val="22"/>
          <w:szCs w:val="22"/>
        </w:rPr>
        <w:t xml:space="preserve"> has compared the model assumptions versus </w:t>
      </w:r>
      <w:proofErr w:type="spellStart"/>
      <w:r w:rsidRPr="000B7516">
        <w:rPr>
          <w:rFonts w:asciiTheme="minorHAnsi" w:hAnsiTheme="minorHAnsi" w:cs="Arial"/>
          <w:i/>
          <w:color w:val="1F497D" w:themeColor="text2"/>
          <w:spacing w:val="-2"/>
          <w:kern w:val="22"/>
          <w:sz w:val="22"/>
          <w:szCs w:val="22"/>
        </w:rPr>
        <w:t>TCorp’s</w:t>
      </w:r>
      <w:proofErr w:type="spellEnd"/>
      <w:r w:rsidRPr="000B7516">
        <w:rPr>
          <w:rFonts w:asciiTheme="minorHAnsi" w:hAnsiTheme="minorHAnsi" w:cs="Arial"/>
          <w:i/>
          <w:color w:val="1F497D" w:themeColor="text2"/>
          <w:spacing w:val="-2"/>
          <w:kern w:val="22"/>
          <w:sz w:val="22"/>
          <w:szCs w:val="22"/>
        </w:rPr>
        <w:t xml:space="preserve"> benchmarks for annual increases in the various revenue and expenditure items.  Any material differences from these benchmarks should be explained through the LTFP.</w:t>
      </w:r>
    </w:p>
    <w:p w:rsidR="00F17129" w:rsidRDefault="00F17129" w:rsidP="00EE45C1">
      <w:pPr>
        <w:ind w:left="720"/>
        <w:jc w:val="both"/>
        <w:rPr>
          <w:rFonts w:asciiTheme="minorHAnsi" w:hAnsiTheme="minorHAnsi" w:cs="Arial"/>
          <w:i/>
          <w:color w:val="1F497D" w:themeColor="text2"/>
          <w:spacing w:val="-2"/>
          <w:kern w:val="22"/>
          <w:sz w:val="22"/>
          <w:szCs w:val="22"/>
        </w:rPr>
      </w:pPr>
      <w:proofErr w:type="spellStart"/>
      <w:r w:rsidRPr="000B7516">
        <w:rPr>
          <w:rFonts w:asciiTheme="minorHAnsi" w:hAnsiTheme="minorHAnsi" w:cs="Arial"/>
          <w:i/>
          <w:color w:val="1F497D" w:themeColor="text2"/>
          <w:spacing w:val="-2"/>
          <w:kern w:val="22"/>
          <w:sz w:val="22"/>
          <w:szCs w:val="22"/>
        </w:rPr>
        <w:t>TCorp’s</w:t>
      </w:r>
      <w:proofErr w:type="spellEnd"/>
      <w:r w:rsidRPr="000B7516">
        <w:rPr>
          <w:rFonts w:asciiTheme="minorHAnsi" w:hAnsiTheme="minorHAnsi" w:cs="Arial"/>
          <w:i/>
          <w:color w:val="1F497D" w:themeColor="text2"/>
          <w:spacing w:val="-2"/>
          <w:kern w:val="22"/>
          <w:sz w:val="22"/>
          <w:szCs w:val="22"/>
        </w:rPr>
        <w:t xml:space="preserve"> benchmarks:</w:t>
      </w:r>
    </w:p>
    <w:p w:rsidR="004B36A1" w:rsidRDefault="004B36A1" w:rsidP="00EE45C1">
      <w:pPr>
        <w:ind w:left="720"/>
        <w:jc w:val="both"/>
        <w:rPr>
          <w:rFonts w:asciiTheme="minorHAnsi" w:hAnsiTheme="minorHAnsi" w:cs="Arial"/>
          <w:i/>
          <w:color w:val="1F497D" w:themeColor="text2"/>
          <w:spacing w:val="-2"/>
          <w:kern w:val="22"/>
          <w:sz w:val="22"/>
          <w:szCs w:val="22"/>
        </w:rPr>
      </w:pPr>
    </w:p>
    <w:p w:rsidR="00F17129" w:rsidRPr="004B36A1" w:rsidRDefault="00F17129" w:rsidP="00EE45C1">
      <w:pPr>
        <w:pStyle w:val="ListParagraph"/>
        <w:numPr>
          <w:ilvl w:val="0"/>
          <w:numId w:val="29"/>
        </w:numPr>
        <w:ind w:left="993"/>
        <w:rPr>
          <w:rFonts w:asciiTheme="minorHAnsi" w:hAnsiTheme="minorHAnsi"/>
          <w:color w:val="1F497D" w:themeColor="text2"/>
          <w:sz w:val="22"/>
          <w:szCs w:val="22"/>
        </w:rPr>
      </w:pPr>
      <w:r w:rsidRPr="004B36A1">
        <w:rPr>
          <w:rFonts w:asciiTheme="minorHAnsi" w:hAnsiTheme="minorHAnsi" w:cs="Arial"/>
          <w:i/>
          <w:color w:val="1F497D" w:themeColor="text2"/>
          <w:sz w:val="22"/>
          <w:szCs w:val="22"/>
        </w:rPr>
        <w:t xml:space="preserve">Rates and annual charges: </w:t>
      </w:r>
      <w:proofErr w:type="spellStart"/>
      <w:r w:rsidRPr="004B36A1">
        <w:rPr>
          <w:rFonts w:asciiTheme="minorHAnsi" w:hAnsiTheme="minorHAnsi" w:cs="Arial"/>
          <w:i/>
          <w:color w:val="1F497D" w:themeColor="text2"/>
          <w:sz w:val="22"/>
          <w:szCs w:val="22"/>
        </w:rPr>
        <w:t>TCorp</w:t>
      </w:r>
      <w:proofErr w:type="spellEnd"/>
      <w:r w:rsidRPr="004B36A1">
        <w:rPr>
          <w:rFonts w:asciiTheme="minorHAnsi" w:hAnsiTheme="minorHAnsi" w:cs="Arial"/>
          <w:i/>
          <w:color w:val="1F497D" w:themeColor="text2"/>
          <w:sz w:val="22"/>
          <w:szCs w:val="22"/>
        </w:rPr>
        <w:t xml:space="preserve"> notes that the LGCI increased by 3.4% in the year to September 2011, 2.8% in 2012, and 3.6% in 2013.  In November 2012 IPART announced that the rate peg to apply in the 2013/14 financial year will be 3.4%.  Beyond 2014 </w:t>
      </w:r>
      <w:proofErr w:type="spellStart"/>
      <w:r w:rsidRPr="004B36A1">
        <w:rPr>
          <w:rFonts w:asciiTheme="minorHAnsi" w:hAnsiTheme="minorHAnsi" w:cs="Arial"/>
          <w:i/>
          <w:color w:val="1F497D" w:themeColor="text2"/>
          <w:sz w:val="22"/>
          <w:szCs w:val="22"/>
        </w:rPr>
        <w:t>TCorp</w:t>
      </w:r>
      <w:proofErr w:type="spellEnd"/>
      <w:r w:rsidRPr="004B36A1">
        <w:rPr>
          <w:rFonts w:asciiTheme="minorHAnsi" w:hAnsiTheme="minorHAnsi" w:cs="Arial"/>
          <w:i/>
          <w:color w:val="1F497D" w:themeColor="text2"/>
          <w:sz w:val="22"/>
          <w:szCs w:val="22"/>
        </w:rPr>
        <w:t xml:space="preserve"> has assessed a general benchmark for rates and annual charges to increase by mid-range LGCI annual increases of 3.0% </w:t>
      </w:r>
    </w:p>
    <w:p w:rsidR="00F17129" w:rsidRPr="004B36A1" w:rsidRDefault="00F17129" w:rsidP="00EE45C1">
      <w:pPr>
        <w:pStyle w:val="ListParagraph"/>
        <w:numPr>
          <w:ilvl w:val="0"/>
          <w:numId w:val="29"/>
        </w:numPr>
        <w:ind w:left="993"/>
        <w:rPr>
          <w:rFonts w:asciiTheme="minorHAnsi" w:hAnsiTheme="minorHAnsi"/>
          <w:color w:val="1F497D" w:themeColor="text2"/>
          <w:sz w:val="22"/>
          <w:szCs w:val="22"/>
        </w:rPr>
      </w:pPr>
      <w:r w:rsidRPr="004B36A1">
        <w:rPr>
          <w:rFonts w:asciiTheme="minorHAnsi" w:hAnsiTheme="minorHAnsi" w:cs="Arial"/>
          <w:i/>
          <w:color w:val="1F497D" w:themeColor="text2"/>
          <w:sz w:val="22"/>
          <w:szCs w:val="22"/>
        </w:rPr>
        <w:t>Interest and investment revenue: annual return of 5%</w:t>
      </w:r>
    </w:p>
    <w:p w:rsidR="004B36A1" w:rsidRPr="004B36A1" w:rsidRDefault="00F17129" w:rsidP="00EE45C1">
      <w:pPr>
        <w:pStyle w:val="ListParagraph"/>
        <w:numPr>
          <w:ilvl w:val="0"/>
          <w:numId w:val="29"/>
        </w:numPr>
        <w:ind w:left="993"/>
        <w:rPr>
          <w:rFonts w:asciiTheme="minorHAnsi" w:hAnsiTheme="minorHAnsi"/>
          <w:color w:val="1F497D" w:themeColor="text2"/>
          <w:sz w:val="22"/>
          <w:szCs w:val="22"/>
        </w:rPr>
      </w:pPr>
      <w:r w:rsidRPr="004B36A1">
        <w:rPr>
          <w:rFonts w:asciiTheme="minorHAnsi" w:hAnsiTheme="minorHAnsi" w:cs="Arial"/>
          <w:i/>
          <w:color w:val="1F497D" w:themeColor="text2"/>
          <w:sz w:val="22"/>
          <w:szCs w:val="22"/>
        </w:rPr>
        <w:t>All other revenue items: the estimated annual CPI increase of 2.5%</w:t>
      </w:r>
    </w:p>
    <w:p w:rsidR="004B36A1" w:rsidRPr="004B36A1" w:rsidRDefault="00F17129" w:rsidP="00EE45C1">
      <w:pPr>
        <w:pStyle w:val="ListParagraph"/>
        <w:numPr>
          <w:ilvl w:val="0"/>
          <w:numId w:val="29"/>
        </w:numPr>
        <w:ind w:left="993"/>
        <w:rPr>
          <w:rFonts w:asciiTheme="minorHAnsi" w:hAnsiTheme="minorHAnsi"/>
          <w:color w:val="1F497D" w:themeColor="text2"/>
          <w:sz w:val="22"/>
          <w:szCs w:val="22"/>
        </w:rPr>
      </w:pPr>
      <w:r w:rsidRPr="004B36A1">
        <w:rPr>
          <w:rFonts w:asciiTheme="minorHAnsi" w:hAnsiTheme="minorHAnsi" w:cs="Arial"/>
          <w:i/>
          <w:color w:val="1F497D" w:themeColor="text2"/>
          <w:sz w:val="22"/>
          <w:szCs w:val="22"/>
        </w:rPr>
        <w:t>Employee costs: 3.5% (estimated CPI+1%)</w:t>
      </w:r>
    </w:p>
    <w:p w:rsidR="00F17129" w:rsidRPr="00EE45C1" w:rsidRDefault="00F17129" w:rsidP="00EE45C1">
      <w:pPr>
        <w:pStyle w:val="ListParagraph"/>
        <w:numPr>
          <w:ilvl w:val="0"/>
          <w:numId w:val="29"/>
        </w:numPr>
        <w:ind w:left="993"/>
        <w:rPr>
          <w:rFonts w:asciiTheme="minorHAnsi" w:hAnsiTheme="minorHAnsi"/>
          <w:color w:val="1F497D" w:themeColor="text2"/>
          <w:sz w:val="22"/>
          <w:szCs w:val="22"/>
        </w:rPr>
      </w:pPr>
      <w:r w:rsidRPr="004B36A1">
        <w:rPr>
          <w:rFonts w:asciiTheme="minorHAnsi" w:hAnsiTheme="minorHAnsi" w:cs="Arial"/>
          <w:i/>
          <w:color w:val="1F497D" w:themeColor="text2"/>
          <w:sz w:val="22"/>
          <w:szCs w:val="22"/>
        </w:rPr>
        <w:t>All other expenses: the estimated annual CPI increase of 2.5%</w:t>
      </w:r>
      <w:bookmarkStart w:id="35" w:name="_Toc366665367"/>
      <w:bookmarkStart w:id="36" w:name="_Toc366665229"/>
    </w:p>
    <w:p w:rsidR="00EE45C1" w:rsidRDefault="00EE45C1" w:rsidP="00EE45C1">
      <w:pPr>
        <w:rPr>
          <w:rFonts w:asciiTheme="minorHAnsi" w:hAnsiTheme="minorHAnsi"/>
          <w:color w:val="1F497D" w:themeColor="text2"/>
          <w:sz w:val="22"/>
          <w:szCs w:val="22"/>
        </w:rPr>
      </w:pPr>
    </w:p>
    <w:p w:rsidR="00EE45C1" w:rsidRPr="000B7516" w:rsidRDefault="00EE45C1" w:rsidP="00EE45C1">
      <w:pPr>
        <w:keepNext/>
        <w:keepLines/>
        <w:ind w:left="720"/>
        <w:contextualSpacing/>
        <w:jc w:val="both"/>
        <w:outlineLvl w:val="1"/>
        <w:rPr>
          <w:rFonts w:asciiTheme="minorHAnsi" w:eastAsiaTheme="majorEastAsia" w:hAnsiTheme="minorHAnsi" w:cs="Arial"/>
          <w:b/>
          <w:bCs/>
          <w:i/>
          <w:color w:val="1F497D" w:themeColor="text2"/>
          <w:sz w:val="22"/>
          <w:szCs w:val="22"/>
          <w:lang w:val="en-GB"/>
        </w:rPr>
      </w:pPr>
      <w:r w:rsidRPr="000B7516">
        <w:rPr>
          <w:rFonts w:asciiTheme="minorHAnsi" w:eastAsiaTheme="majorEastAsia" w:hAnsiTheme="minorHAnsi" w:cs="Arial"/>
          <w:b/>
          <w:bCs/>
          <w:i/>
          <w:color w:val="1F497D" w:themeColor="text2"/>
          <w:sz w:val="22"/>
          <w:szCs w:val="22"/>
          <w:lang w:val="en-GB"/>
        </w:rPr>
        <w:t>Key Observations and Risks</w:t>
      </w:r>
    </w:p>
    <w:bookmarkEnd w:id="35"/>
    <w:bookmarkEnd w:id="36"/>
    <w:p w:rsidR="00F17129" w:rsidRPr="00EE45C1" w:rsidRDefault="00F17129" w:rsidP="00EE45C1">
      <w:pPr>
        <w:pStyle w:val="ListParagraph"/>
        <w:numPr>
          <w:ilvl w:val="0"/>
          <w:numId w:val="29"/>
        </w:numPr>
        <w:ind w:left="993"/>
        <w:rPr>
          <w:rFonts w:asciiTheme="minorHAnsi" w:hAnsiTheme="minorHAnsi"/>
          <w:color w:val="1F497D" w:themeColor="text2"/>
          <w:sz w:val="22"/>
          <w:szCs w:val="22"/>
        </w:rPr>
      </w:pPr>
      <w:r w:rsidRPr="00EE45C1">
        <w:rPr>
          <w:rFonts w:asciiTheme="minorHAnsi" w:hAnsiTheme="minorHAnsi" w:cs="Arial"/>
          <w:i/>
          <w:color w:val="1F497D" w:themeColor="text2"/>
          <w:sz w:val="22"/>
          <w:szCs w:val="22"/>
        </w:rPr>
        <w:t xml:space="preserve">The Reduced Services scenario is based on the assumption that without the assistance of an SRV services will need to be reduced.  </w:t>
      </w:r>
    </w:p>
    <w:p w:rsidR="00F17129" w:rsidRPr="00EE45C1" w:rsidRDefault="00F17129" w:rsidP="00EE45C1">
      <w:pPr>
        <w:pStyle w:val="ListParagraph"/>
        <w:numPr>
          <w:ilvl w:val="0"/>
          <w:numId w:val="29"/>
        </w:numPr>
        <w:ind w:left="993"/>
        <w:rPr>
          <w:rFonts w:asciiTheme="minorHAnsi" w:hAnsiTheme="minorHAnsi"/>
          <w:color w:val="1F497D" w:themeColor="text2"/>
          <w:sz w:val="22"/>
          <w:szCs w:val="22"/>
        </w:rPr>
      </w:pPr>
      <w:r w:rsidRPr="00EE45C1">
        <w:rPr>
          <w:rFonts w:asciiTheme="minorHAnsi" w:hAnsiTheme="minorHAnsi" w:cs="Arial"/>
          <w:i/>
          <w:color w:val="1F497D" w:themeColor="text2"/>
          <w:sz w:val="22"/>
          <w:szCs w:val="22"/>
        </w:rPr>
        <w:t>Rates and annual charges are forecast to increase by 8.4% in 2016 and decrease by 0.3% in 2017 as discussed previously.  From 2018 they are forecast to increase by 3.4% p.a.</w:t>
      </w:r>
    </w:p>
    <w:p w:rsidR="00F17129" w:rsidRPr="00EE45C1" w:rsidRDefault="00F17129" w:rsidP="00EE45C1">
      <w:pPr>
        <w:pStyle w:val="ListParagraph"/>
        <w:numPr>
          <w:ilvl w:val="0"/>
          <w:numId w:val="29"/>
        </w:numPr>
        <w:ind w:left="993"/>
        <w:rPr>
          <w:rFonts w:asciiTheme="minorHAnsi" w:hAnsiTheme="minorHAnsi"/>
          <w:color w:val="1F497D" w:themeColor="text2"/>
          <w:sz w:val="22"/>
          <w:szCs w:val="22"/>
        </w:rPr>
      </w:pPr>
      <w:r w:rsidRPr="00EE45C1">
        <w:rPr>
          <w:rFonts w:asciiTheme="minorHAnsi" w:hAnsiTheme="minorHAnsi" w:cs="Arial"/>
          <w:i/>
          <w:color w:val="1F497D" w:themeColor="text2"/>
          <w:sz w:val="22"/>
          <w:szCs w:val="22"/>
        </w:rPr>
        <w:t xml:space="preserve">User fees and charges have been forecast to decrease by 26.7% in 2014 as a result of a decrease in private works as well as a decrease in income generated from Council’s Inala Units complex due to a slowdown in mining activity.  From 2015 user fees and charges increase by 4.0% p.a. </w:t>
      </w:r>
    </w:p>
    <w:p w:rsidR="00F17129" w:rsidRPr="00EE45C1" w:rsidRDefault="00F17129" w:rsidP="00EE45C1">
      <w:pPr>
        <w:pStyle w:val="ListParagraph"/>
        <w:numPr>
          <w:ilvl w:val="0"/>
          <w:numId w:val="29"/>
        </w:numPr>
        <w:ind w:left="993"/>
        <w:rPr>
          <w:rFonts w:asciiTheme="minorHAnsi" w:hAnsiTheme="minorHAnsi"/>
          <w:color w:val="1F497D" w:themeColor="text2"/>
          <w:sz w:val="22"/>
          <w:szCs w:val="22"/>
        </w:rPr>
      </w:pPr>
      <w:r w:rsidRPr="00EE45C1">
        <w:rPr>
          <w:rFonts w:asciiTheme="minorHAnsi" w:hAnsiTheme="minorHAnsi" w:cs="Arial"/>
          <w:i/>
          <w:color w:val="1F497D" w:themeColor="text2"/>
          <w:sz w:val="22"/>
          <w:szCs w:val="22"/>
        </w:rPr>
        <w:t xml:space="preserve">Operating grants decrease in 2013 and are forecast to decrease again in 2014 as a result of the prepayments of the FAG in 2012 and 2013.  From 2015 they are forecast to increase by 2.9% p.a. </w:t>
      </w:r>
    </w:p>
    <w:p w:rsidR="00EE45C1" w:rsidRPr="00EE45C1" w:rsidRDefault="00F17129" w:rsidP="00EE45C1">
      <w:pPr>
        <w:pStyle w:val="ListParagraph"/>
        <w:numPr>
          <w:ilvl w:val="0"/>
          <w:numId w:val="29"/>
        </w:numPr>
        <w:ind w:left="993"/>
        <w:rPr>
          <w:rFonts w:asciiTheme="minorHAnsi" w:hAnsiTheme="minorHAnsi"/>
          <w:color w:val="1F497D" w:themeColor="text2"/>
          <w:sz w:val="22"/>
          <w:szCs w:val="22"/>
        </w:rPr>
      </w:pPr>
      <w:r w:rsidRPr="00EE45C1">
        <w:rPr>
          <w:rFonts w:asciiTheme="minorHAnsi" w:hAnsiTheme="minorHAnsi" w:cs="Arial"/>
          <w:i/>
          <w:color w:val="1F497D" w:themeColor="text2"/>
          <w:sz w:val="22"/>
          <w:szCs w:val="22"/>
        </w:rPr>
        <w:t>Employee expenses are forecast to decrease by 7.3% in 2014 based on the assumption that if Council were not to get SRV approval all positions currently vacant in their salary structure will be taken out permanently.  From 2015 they are forecast increase by 4.0% p.a. which is in line with the historic average increase since 2009.</w:t>
      </w:r>
    </w:p>
    <w:p w:rsidR="00EE45C1" w:rsidRPr="00EE45C1" w:rsidRDefault="00F17129" w:rsidP="00EE45C1">
      <w:pPr>
        <w:pStyle w:val="ListParagraph"/>
        <w:numPr>
          <w:ilvl w:val="0"/>
          <w:numId w:val="29"/>
        </w:numPr>
        <w:ind w:left="993"/>
        <w:rPr>
          <w:rFonts w:asciiTheme="minorHAnsi" w:hAnsiTheme="minorHAnsi"/>
          <w:color w:val="1F497D" w:themeColor="text2"/>
          <w:sz w:val="22"/>
          <w:szCs w:val="22"/>
        </w:rPr>
      </w:pPr>
      <w:r w:rsidRPr="00EE45C1">
        <w:rPr>
          <w:rFonts w:asciiTheme="minorHAnsi" w:hAnsiTheme="minorHAnsi" w:cs="Arial"/>
          <w:i/>
          <w:color w:val="1F497D" w:themeColor="text2"/>
          <w:sz w:val="22"/>
          <w:szCs w:val="22"/>
        </w:rPr>
        <w:t xml:space="preserve">Materials and contracts expenses are forecast to fluctuate until 2017 due to wage classification as discussed above as well as the timing of various projects.  After this they are forecast to increase by 2.9% p.a. </w:t>
      </w:r>
    </w:p>
    <w:p w:rsidR="00EE45C1" w:rsidRPr="00EE45C1" w:rsidRDefault="00F17129" w:rsidP="00EE45C1">
      <w:pPr>
        <w:pStyle w:val="ListParagraph"/>
        <w:numPr>
          <w:ilvl w:val="0"/>
          <w:numId w:val="29"/>
        </w:numPr>
        <w:ind w:left="993"/>
        <w:rPr>
          <w:rFonts w:asciiTheme="minorHAnsi" w:hAnsiTheme="minorHAnsi"/>
          <w:color w:val="1F497D" w:themeColor="text2"/>
          <w:sz w:val="22"/>
          <w:szCs w:val="22"/>
        </w:rPr>
      </w:pPr>
      <w:r w:rsidRPr="00EE45C1">
        <w:rPr>
          <w:rFonts w:asciiTheme="minorHAnsi" w:hAnsiTheme="minorHAnsi" w:cs="Arial"/>
          <w:i/>
          <w:color w:val="1F497D" w:themeColor="text2"/>
          <w:sz w:val="22"/>
          <w:szCs w:val="22"/>
        </w:rPr>
        <w:t xml:space="preserve">Depreciation expense is forecast to increase by only 0.5% in 2014 and 1.0% p.a. from 2015 for the remainder of the forecast period.  Given that depreciation increased by 2.8% in 2013 and the Reduced Services scenario will result in a reduction in asset maintenance this may be understated. </w:t>
      </w:r>
    </w:p>
    <w:p w:rsidR="00F17129" w:rsidRPr="00EE45C1" w:rsidRDefault="00F17129" w:rsidP="00EE45C1">
      <w:pPr>
        <w:pStyle w:val="ListParagraph"/>
        <w:numPr>
          <w:ilvl w:val="0"/>
          <w:numId w:val="29"/>
        </w:numPr>
        <w:ind w:left="993"/>
        <w:rPr>
          <w:rFonts w:asciiTheme="minorHAnsi" w:hAnsiTheme="minorHAnsi"/>
          <w:color w:val="1F497D" w:themeColor="text2"/>
          <w:sz w:val="22"/>
          <w:szCs w:val="22"/>
        </w:rPr>
      </w:pPr>
      <w:r w:rsidRPr="00EE45C1">
        <w:rPr>
          <w:rFonts w:asciiTheme="minorHAnsi" w:hAnsiTheme="minorHAnsi" w:cs="Arial"/>
          <w:b/>
          <w:i/>
          <w:color w:val="1F497D" w:themeColor="text2"/>
          <w:sz w:val="22"/>
          <w:szCs w:val="22"/>
        </w:rPr>
        <w:t>With the exception of Council’s depreciation expense we find the assumptions reasonable’.</w:t>
      </w:r>
    </w:p>
    <w:p w:rsidR="006C5646" w:rsidRPr="00EE45C1" w:rsidRDefault="00EE45C1" w:rsidP="006C5646">
      <w:pPr>
        <w:pStyle w:val="BodyText"/>
        <w:rPr>
          <w:rFonts w:asciiTheme="minorHAnsi" w:hAnsiTheme="minorHAnsi"/>
          <w:i/>
          <w:color w:val="1F497D" w:themeColor="text2"/>
          <w:sz w:val="18"/>
          <w:szCs w:val="18"/>
        </w:rPr>
      </w:pPr>
      <w:r w:rsidRPr="00EE45C1">
        <w:rPr>
          <w:rFonts w:asciiTheme="minorHAnsi" w:hAnsiTheme="minorHAnsi"/>
          <w:i/>
          <w:color w:val="1F497D" w:themeColor="text2"/>
          <w:sz w:val="18"/>
          <w:szCs w:val="18"/>
        </w:rPr>
        <w:t>Source:</w:t>
      </w:r>
      <w:r>
        <w:rPr>
          <w:rFonts w:asciiTheme="minorHAnsi" w:hAnsiTheme="minorHAnsi"/>
          <w:i/>
          <w:color w:val="1F497D" w:themeColor="text2"/>
          <w:sz w:val="18"/>
          <w:szCs w:val="18"/>
        </w:rPr>
        <w:t xml:space="preserve"> </w:t>
      </w:r>
      <w:proofErr w:type="spellStart"/>
      <w:r>
        <w:rPr>
          <w:rFonts w:asciiTheme="minorHAnsi" w:hAnsiTheme="minorHAnsi"/>
          <w:i/>
          <w:color w:val="1F497D" w:themeColor="text2"/>
          <w:sz w:val="18"/>
          <w:szCs w:val="18"/>
        </w:rPr>
        <w:t>TCorp</w:t>
      </w:r>
      <w:proofErr w:type="spellEnd"/>
      <w:r>
        <w:rPr>
          <w:rFonts w:asciiTheme="minorHAnsi" w:hAnsiTheme="minorHAnsi"/>
          <w:i/>
          <w:color w:val="1F497D" w:themeColor="text2"/>
          <w:sz w:val="18"/>
          <w:szCs w:val="18"/>
        </w:rPr>
        <w:t xml:space="preserve"> Blayney Shire Council Financial Assessment and Sustainability report - 5 November 2013 (p.28)</w:t>
      </w:r>
    </w:p>
    <w:p w:rsidR="001E15EB" w:rsidRDefault="006C5646" w:rsidP="00613BBD">
      <w:pPr>
        <w:pStyle w:val="Heading1"/>
      </w:pPr>
      <w:bookmarkStart w:id="37" w:name="_Toc380956902"/>
      <w:r>
        <w:lastRenderedPageBreak/>
        <w:t>Assessment c</w:t>
      </w:r>
      <w:r w:rsidR="00B82030">
        <w:t xml:space="preserve">riterion 5: </w:t>
      </w:r>
      <w:r w:rsidR="000431EA">
        <w:t xml:space="preserve">  </w:t>
      </w:r>
      <w:r w:rsidR="001E15EB" w:rsidRPr="00B17EC1">
        <w:t>Productivity improvements</w:t>
      </w:r>
      <w:r w:rsidR="003237B3" w:rsidRPr="00B17EC1">
        <w:t xml:space="preserve"> </w:t>
      </w:r>
      <w:r w:rsidR="00613BBD">
        <w:t>and</w:t>
      </w:r>
      <w:r w:rsidR="003237B3" w:rsidRPr="00B17EC1">
        <w:t xml:space="preserve"> cost containment strategies</w:t>
      </w:r>
      <w:bookmarkEnd w:id="37"/>
    </w:p>
    <w:p w:rsidR="006C5646" w:rsidRPr="00B606B0" w:rsidRDefault="006C5646" w:rsidP="006C5646">
      <w:pPr>
        <w:pStyle w:val="BodyText"/>
        <w:spacing w:after="240"/>
      </w:pPr>
      <w:r>
        <w:t>The DLG Guidelines state this criterion as follows:</w:t>
      </w:r>
    </w:p>
    <w:p w:rsidR="00600721" w:rsidRPr="00462EAF" w:rsidRDefault="00600721" w:rsidP="006C5646">
      <w:pPr>
        <w:pStyle w:val="BodyText"/>
        <w:spacing w:before="0" w:line="276" w:lineRule="auto"/>
        <w:ind w:left="284"/>
        <w:rPr>
          <w:rFonts w:ascii="Arial" w:hAnsi="Arial" w:cs="Arial"/>
          <w:i/>
          <w:sz w:val="20"/>
          <w:szCs w:val="20"/>
        </w:rPr>
      </w:pPr>
      <w:r w:rsidRPr="004A615D">
        <w:rPr>
          <w:rFonts w:ascii="Arial" w:hAnsi="Arial" w:cs="Arial"/>
          <w:i/>
          <w:sz w:val="20"/>
          <w:szCs w:val="20"/>
        </w:rPr>
        <w:t>An explanation of the productivity improvements and cost containment strategies the council has realised in past years, and plans to realise over the proposed special variation period.</w:t>
      </w:r>
    </w:p>
    <w:p w:rsidR="00797E91" w:rsidRPr="00353E2F" w:rsidRDefault="00277375" w:rsidP="00797E91">
      <w:pPr>
        <w:pStyle w:val="BodyText"/>
        <w:rPr>
          <w:bCs/>
        </w:rPr>
      </w:pPr>
      <w:r>
        <w:t xml:space="preserve">In this section, </w:t>
      </w:r>
      <w:r w:rsidRPr="00C53A86">
        <w:t xml:space="preserve">provide details of any productivity improvements and cost containment strategies </w:t>
      </w:r>
      <w:r>
        <w:t xml:space="preserve">that </w:t>
      </w:r>
      <w:r w:rsidR="00A91B42">
        <w:t xml:space="preserve">you </w:t>
      </w:r>
      <w:r w:rsidR="00F9339E">
        <w:t xml:space="preserve">have </w:t>
      </w:r>
      <w:r w:rsidR="00A91B42">
        <w:t>implemented</w:t>
      </w:r>
      <w:r w:rsidRPr="00C53A86">
        <w:t xml:space="preserve"> in the last </w:t>
      </w:r>
      <w:r w:rsidR="00E57B05">
        <w:t>2</w:t>
      </w:r>
      <w:r w:rsidR="00FE4228">
        <w:t xml:space="preserve"> years (or longer)</w:t>
      </w:r>
      <w:r w:rsidR="00A91B42">
        <w:t xml:space="preserve"> and any</w:t>
      </w:r>
      <w:r w:rsidRPr="00C53A86">
        <w:t xml:space="preserve"> plans for productivity improvements and cost containment during the period of the special variation.  These p</w:t>
      </w:r>
      <w:r w:rsidR="00A91B42">
        <w:t>lans</w:t>
      </w:r>
      <w:r w:rsidRPr="00C53A86">
        <w:t>, capital or recurrent</w:t>
      </w:r>
      <w:r w:rsidR="00A91B42">
        <w:t xml:space="preserve"> in nature</w:t>
      </w:r>
      <w:r w:rsidRPr="00C53A86">
        <w:t xml:space="preserve">, must be </w:t>
      </w:r>
      <w:r w:rsidR="00A91B42">
        <w:t>aimed at reducing costs</w:t>
      </w:r>
      <w:r w:rsidRPr="00C53A86">
        <w:t>.</w:t>
      </w:r>
      <w:r w:rsidR="00797E91">
        <w:t xml:space="preserve">  </w:t>
      </w:r>
      <w:r w:rsidR="00E614AD">
        <w:t xml:space="preserve">Please also indicate any initiatives to increase revenue </w:t>
      </w:r>
      <w:proofErr w:type="spellStart"/>
      <w:r w:rsidR="00E614AD">
        <w:t>eg</w:t>
      </w:r>
      <w:proofErr w:type="spellEnd"/>
      <w:r w:rsidR="00E614AD">
        <w:t xml:space="preserve">, user charges.  </w:t>
      </w:r>
      <w:r w:rsidR="00797E91">
        <w:t>Identify</w:t>
      </w:r>
      <w:r w:rsidR="00797E91" w:rsidRPr="00353E2F">
        <w:t xml:space="preserve"> how and where the proposed initiatives have been factored into the council’s</w:t>
      </w:r>
      <w:r w:rsidR="00797E91">
        <w:t xml:space="preserve"> resourcing strategy (</w:t>
      </w:r>
      <w:proofErr w:type="spellStart"/>
      <w:r w:rsidR="00797E91">
        <w:t>eg</w:t>
      </w:r>
      <w:proofErr w:type="spellEnd"/>
      <w:r w:rsidR="00797E91">
        <w:t xml:space="preserve">, </w:t>
      </w:r>
      <w:r w:rsidR="00797E91" w:rsidRPr="00353E2F">
        <w:t>LTFP and A</w:t>
      </w:r>
      <w:r w:rsidR="00797E91">
        <w:t>MP)</w:t>
      </w:r>
      <w:r w:rsidR="00797E91" w:rsidRPr="00353E2F">
        <w:t>.</w:t>
      </w:r>
    </w:p>
    <w:p w:rsidR="00277375" w:rsidRDefault="00FE4228" w:rsidP="00797E91">
      <w:pPr>
        <w:pStyle w:val="BodyText"/>
      </w:pPr>
      <w:r>
        <w:t>W</w:t>
      </w:r>
      <w:r w:rsidR="00E57B05">
        <w:t xml:space="preserve">here possible, </w:t>
      </w:r>
      <w:r w:rsidR="00797E91">
        <w:t xml:space="preserve">quantify in dollar terms </w:t>
      </w:r>
      <w:r w:rsidR="00A91B42">
        <w:t>the</w:t>
      </w:r>
      <w:r w:rsidR="00277375" w:rsidRPr="00C53A86">
        <w:t xml:space="preserve"> </w:t>
      </w:r>
      <w:r w:rsidR="00797E91">
        <w:t xml:space="preserve">past and future </w:t>
      </w:r>
      <w:r w:rsidR="00277375" w:rsidRPr="00C53A86">
        <w:t>productivity improvements and savings</w:t>
      </w:r>
      <w:r w:rsidR="00E57B05">
        <w:t xml:space="preserve">. </w:t>
      </w:r>
      <w:r w:rsidR="00277375">
        <w:t xml:space="preserve"> </w:t>
      </w:r>
    </w:p>
    <w:p w:rsidR="00277375" w:rsidRPr="00353E2F" w:rsidRDefault="00B25F69" w:rsidP="00277375">
      <w:pPr>
        <w:pStyle w:val="BodyText"/>
        <w:rPr>
          <w:bCs/>
        </w:rPr>
      </w:pPr>
      <w:r>
        <w:t>You</w:t>
      </w:r>
      <w:r w:rsidR="00277375" w:rsidRPr="00353E2F">
        <w:t xml:space="preserve"> may </w:t>
      </w:r>
      <w:r w:rsidR="00797E91">
        <w:t xml:space="preserve">also </w:t>
      </w:r>
      <w:r>
        <w:t xml:space="preserve">use </w:t>
      </w:r>
      <w:r w:rsidR="00277375" w:rsidRPr="00353E2F">
        <w:t xml:space="preserve">indicators </w:t>
      </w:r>
      <w:r>
        <w:t>of</w:t>
      </w:r>
      <w:r w:rsidR="00277375" w:rsidRPr="00353E2F">
        <w:t xml:space="preserve"> </w:t>
      </w:r>
      <w:r w:rsidR="00E84211">
        <w:t>efficiency</w:t>
      </w:r>
      <w:r>
        <w:t xml:space="preserve">, either over time or </w:t>
      </w:r>
      <w:r w:rsidR="000F30C1">
        <w:t>in comparison to</w:t>
      </w:r>
      <w:r>
        <w:t xml:space="preserve"> other relevant councils.  We will </w:t>
      </w:r>
      <w:r w:rsidR="00797E91">
        <w:t>make similar comparisons</w:t>
      </w:r>
      <w:r>
        <w:t xml:space="preserve"> using </w:t>
      </w:r>
      <w:r w:rsidR="000F30C1">
        <w:t xml:space="preserve">various indicators and </w:t>
      </w:r>
      <w:r>
        <w:t>the DLG Group data provided to us</w:t>
      </w:r>
      <w:r w:rsidR="00277375">
        <w:t xml:space="preserve">. </w:t>
      </w:r>
    </w:p>
    <w:p w:rsidR="00B71675" w:rsidRPr="00B17EC1" w:rsidRDefault="00B71675" w:rsidP="00B71675">
      <w:pPr>
        <w:jc w:val="both"/>
      </w:pPr>
    </w:p>
    <w:p w:rsidR="00CC351A" w:rsidRPr="00F005F5" w:rsidRDefault="002E4877" w:rsidP="00F005F5">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D7246A" w:rsidRPr="008D7C80" w:rsidRDefault="00D7246A" w:rsidP="00D7246A">
      <w:pPr>
        <w:pStyle w:val="BodyText"/>
        <w:spacing w:before="0"/>
        <w:rPr>
          <w:rFonts w:asciiTheme="minorHAnsi" w:hAnsiTheme="minorHAnsi"/>
          <w:bCs/>
          <w:color w:val="1F497D" w:themeColor="text2"/>
          <w:sz w:val="22"/>
          <w:szCs w:val="22"/>
        </w:rPr>
      </w:pPr>
      <w:r w:rsidRPr="008D7C80">
        <w:rPr>
          <w:rFonts w:asciiTheme="minorHAnsi" w:hAnsiTheme="minorHAnsi"/>
          <w:bCs/>
          <w:color w:val="1F497D" w:themeColor="text2"/>
          <w:sz w:val="22"/>
          <w:szCs w:val="22"/>
        </w:rPr>
        <w:t xml:space="preserve">Blayney Shire Council, particularly since the Global Finance Crisis (GFC) has constantly reviewed its staffing levels to ensure that it continues to “live within its means”. Blayney is similar to many small </w:t>
      </w:r>
      <w:proofErr w:type="gramStart"/>
      <w:r w:rsidRPr="008D7C80">
        <w:rPr>
          <w:rFonts w:asciiTheme="minorHAnsi" w:hAnsiTheme="minorHAnsi"/>
          <w:bCs/>
          <w:color w:val="1F497D" w:themeColor="text2"/>
          <w:sz w:val="22"/>
          <w:szCs w:val="22"/>
        </w:rPr>
        <w:t>councils</w:t>
      </w:r>
      <w:proofErr w:type="gramEnd"/>
      <w:r w:rsidRPr="008D7C80">
        <w:rPr>
          <w:rFonts w:asciiTheme="minorHAnsi" w:hAnsiTheme="minorHAnsi"/>
          <w:bCs/>
          <w:color w:val="1F497D" w:themeColor="text2"/>
          <w:sz w:val="22"/>
          <w:szCs w:val="22"/>
        </w:rPr>
        <w:t xml:space="preserve">, in that it does not have a surplus of staff and many administrative positions (particularly the majority of its senior management positions), require the occupants to cover multiple areas of expertise and responsibility. Recent reviews of staffing levels have indicated no room for rationalisation of staff but rather the need to have additional resources for specialist areas such as risk management, workplace health and safety, internal control and audit. The community consultation with the CSP process conducted in 2011 highlighted that the community has a strong desire for Council to increase its activities/resources in areas such as economic development and tourism. </w:t>
      </w:r>
    </w:p>
    <w:p w:rsidR="00D65296" w:rsidRPr="008D7C80" w:rsidRDefault="00D65296" w:rsidP="00D7246A">
      <w:pPr>
        <w:pStyle w:val="BodyText"/>
        <w:spacing w:before="0"/>
        <w:rPr>
          <w:rFonts w:asciiTheme="minorHAnsi" w:hAnsiTheme="minorHAnsi"/>
          <w:bCs/>
          <w:color w:val="1F497D" w:themeColor="text2"/>
          <w:sz w:val="22"/>
          <w:szCs w:val="22"/>
        </w:rPr>
      </w:pPr>
    </w:p>
    <w:p w:rsidR="00D7246A" w:rsidRPr="008D7C80" w:rsidRDefault="00D7246A" w:rsidP="00D7246A">
      <w:pPr>
        <w:pStyle w:val="BodyText"/>
        <w:spacing w:before="0"/>
        <w:rPr>
          <w:rFonts w:asciiTheme="minorHAnsi" w:hAnsiTheme="minorHAnsi"/>
          <w:bCs/>
          <w:color w:val="1F497D" w:themeColor="text2"/>
          <w:sz w:val="22"/>
          <w:szCs w:val="22"/>
        </w:rPr>
      </w:pPr>
      <w:r w:rsidRPr="008D7C80">
        <w:rPr>
          <w:rFonts w:asciiTheme="minorHAnsi" w:hAnsiTheme="minorHAnsi"/>
          <w:bCs/>
          <w:color w:val="1F497D" w:themeColor="text2"/>
          <w:sz w:val="22"/>
          <w:szCs w:val="22"/>
        </w:rPr>
        <w:t>Reviews of Council’s organisational structure are undertaken annually. Other areas are reviewed regularly such as utilisation rates of Council’s major plant and equipment, rate collections, level of debt etc.</w:t>
      </w:r>
    </w:p>
    <w:p w:rsidR="00D7246A" w:rsidRPr="008D7C80" w:rsidRDefault="00D7246A" w:rsidP="00D7246A">
      <w:pPr>
        <w:pStyle w:val="BodyText"/>
        <w:spacing w:before="0"/>
        <w:rPr>
          <w:rFonts w:asciiTheme="minorHAnsi" w:hAnsiTheme="minorHAnsi"/>
          <w:bCs/>
          <w:color w:val="1F497D" w:themeColor="text2"/>
          <w:sz w:val="22"/>
          <w:szCs w:val="22"/>
        </w:rPr>
      </w:pPr>
    </w:p>
    <w:p w:rsidR="00D7246A" w:rsidRPr="008D7C80" w:rsidRDefault="00D7246A" w:rsidP="00D7246A">
      <w:pPr>
        <w:pStyle w:val="BodyText"/>
        <w:spacing w:before="0"/>
        <w:rPr>
          <w:rFonts w:asciiTheme="minorHAnsi" w:hAnsiTheme="minorHAnsi"/>
          <w:bCs/>
          <w:color w:val="1F497D" w:themeColor="text2"/>
          <w:sz w:val="22"/>
          <w:szCs w:val="22"/>
        </w:rPr>
      </w:pPr>
      <w:r w:rsidRPr="008D7C80">
        <w:rPr>
          <w:rFonts w:asciiTheme="minorHAnsi" w:hAnsiTheme="minorHAnsi"/>
          <w:bCs/>
          <w:color w:val="1F497D" w:themeColor="text2"/>
          <w:sz w:val="22"/>
          <w:szCs w:val="22"/>
        </w:rPr>
        <w:t xml:space="preserve">Blayney is also a member of the WBC Alliance (Wellington, Blayney, </w:t>
      </w:r>
      <w:proofErr w:type="spellStart"/>
      <w:r w:rsidRPr="008D7C80">
        <w:rPr>
          <w:rFonts w:asciiTheme="minorHAnsi" w:hAnsiTheme="minorHAnsi"/>
          <w:bCs/>
          <w:color w:val="1F497D" w:themeColor="text2"/>
          <w:sz w:val="22"/>
          <w:szCs w:val="22"/>
        </w:rPr>
        <w:t>Cabonne</w:t>
      </w:r>
      <w:proofErr w:type="spellEnd"/>
      <w:r w:rsidRPr="008D7C80">
        <w:rPr>
          <w:rFonts w:asciiTheme="minorHAnsi" w:hAnsiTheme="minorHAnsi"/>
          <w:bCs/>
          <w:color w:val="1F497D" w:themeColor="text2"/>
          <w:sz w:val="22"/>
          <w:szCs w:val="22"/>
        </w:rPr>
        <w:t xml:space="preserve"> Councils and Central Tablelands Water) which has achieved savings of over $4.2m for its member councils. Blayney is also a member of the CENTROC Group of councils and other groups such as </w:t>
      </w:r>
      <w:proofErr w:type="spellStart"/>
      <w:r w:rsidRPr="008D7C80">
        <w:rPr>
          <w:rFonts w:asciiTheme="minorHAnsi" w:hAnsiTheme="minorHAnsi"/>
          <w:bCs/>
          <w:color w:val="1F497D" w:themeColor="text2"/>
          <w:sz w:val="22"/>
          <w:szCs w:val="22"/>
        </w:rPr>
        <w:t>NetWaste</w:t>
      </w:r>
      <w:proofErr w:type="spellEnd"/>
      <w:r w:rsidRPr="008D7C80">
        <w:rPr>
          <w:rFonts w:asciiTheme="minorHAnsi" w:hAnsiTheme="minorHAnsi"/>
          <w:bCs/>
          <w:color w:val="1F497D" w:themeColor="text2"/>
          <w:sz w:val="22"/>
          <w:szCs w:val="22"/>
        </w:rPr>
        <w:t xml:space="preserve"> and Central West Libraries. A number of efficiencies have been obtained through resource sharing initiatives with these organisations.</w:t>
      </w:r>
    </w:p>
    <w:p w:rsidR="00D7246A" w:rsidRPr="008D7C80" w:rsidRDefault="00D7246A" w:rsidP="00CC351A">
      <w:pPr>
        <w:rPr>
          <w:rFonts w:asciiTheme="minorHAnsi" w:hAnsiTheme="minorHAnsi"/>
          <w:color w:val="1F497D" w:themeColor="text2"/>
          <w:sz w:val="22"/>
          <w:szCs w:val="22"/>
        </w:rPr>
      </w:pPr>
    </w:p>
    <w:p w:rsidR="00F005F5" w:rsidRDefault="00F005F5">
      <w:pPr>
        <w:rPr>
          <w:rFonts w:asciiTheme="minorHAnsi" w:hAnsiTheme="minorHAnsi"/>
          <w:color w:val="1F497D" w:themeColor="text2"/>
          <w:sz w:val="22"/>
          <w:szCs w:val="22"/>
        </w:rPr>
      </w:pPr>
      <w:r>
        <w:rPr>
          <w:rFonts w:asciiTheme="minorHAnsi" w:hAnsiTheme="minorHAnsi"/>
          <w:color w:val="1F497D" w:themeColor="text2"/>
          <w:sz w:val="22"/>
          <w:szCs w:val="22"/>
        </w:rPr>
        <w:br w:type="page"/>
      </w:r>
    </w:p>
    <w:p w:rsidR="00CC351A" w:rsidRDefault="00CC351A" w:rsidP="00CC351A">
      <w:pPr>
        <w:rPr>
          <w:rFonts w:asciiTheme="minorHAnsi" w:hAnsiTheme="minorHAnsi"/>
          <w:color w:val="1F497D" w:themeColor="text2"/>
          <w:sz w:val="22"/>
          <w:szCs w:val="22"/>
        </w:rPr>
      </w:pPr>
      <w:r w:rsidRPr="008D7C80">
        <w:rPr>
          <w:rFonts w:asciiTheme="minorHAnsi" w:hAnsiTheme="minorHAnsi"/>
          <w:color w:val="1F497D" w:themeColor="text2"/>
          <w:sz w:val="22"/>
          <w:szCs w:val="22"/>
        </w:rPr>
        <w:lastRenderedPageBreak/>
        <w:t>Productivity savings achieved during 2012/13 include:</w:t>
      </w:r>
    </w:p>
    <w:p w:rsidR="00CC351A" w:rsidRDefault="00CC351A" w:rsidP="00F005F5">
      <w:pPr>
        <w:pStyle w:val="ListParagraph"/>
        <w:numPr>
          <w:ilvl w:val="0"/>
          <w:numId w:val="51"/>
        </w:numPr>
        <w:rPr>
          <w:rFonts w:asciiTheme="minorHAnsi" w:hAnsiTheme="minorHAnsi"/>
          <w:color w:val="1F497D" w:themeColor="text2"/>
          <w:sz w:val="22"/>
          <w:szCs w:val="22"/>
        </w:rPr>
      </w:pPr>
      <w:r w:rsidRPr="00F005F5">
        <w:rPr>
          <w:rFonts w:asciiTheme="minorHAnsi" w:hAnsiTheme="minorHAnsi"/>
          <w:color w:val="1F497D" w:themeColor="text2"/>
          <w:sz w:val="22"/>
          <w:szCs w:val="22"/>
        </w:rPr>
        <w:t>Integration of technology into work practices</w:t>
      </w:r>
    </w:p>
    <w:p w:rsidR="00CC351A" w:rsidRDefault="00CC351A" w:rsidP="00F005F5">
      <w:pPr>
        <w:pStyle w:val="ListParagraph"/>
        <w:numPr>
          <w:ilvl w:val="0"/>
          <w:numId w:val="51"/>
        </w:numPr>
        <w:rPr>
          <w:rFonts w:asciiTheme="minorHAnsi" w:hAnsiTheme="minorHAnsi"/>
          <w:color w:val="1F497D" w:themeColor="text2"/>
          <w:sz w:val="22"/>
          <w:szCs w:val="22"/>
        </w:rPr>
      </w:pPr>
      <w:r w:rsidRPr="00F005F5">
        <w:rPr>
          <w:rFonts w:asciiTheme="minorHAnsi" w:hAnsiTheme="minorHAnsi"/>
          <w:color w:val="1F497D" w:themeColor="text2"/>
          <w:sz w:val="22"/>
          <w:szCs w:val="22"/>
        </w:rPr>
        <w:t xml:space="preserve">Activities undertaken through CENTROC such as lobbying; sourcing of grant funding; regional planning; joint initiatives and regional tenders for procurement of electricity; fuel; internal audit services; valuation services; </w:t>
      </w:r>
    </w:p>
    <w:p w:rsidR="00CC351A" w:rsidRPr="00FF60FA" w:rsidRDefault="00CC351A" w:rsidP="00F005F5">
      <w:pPr>
        <w:pStyle w:val="ListParagraph"/>
        <w:numPr>
          <w:ilvl w:val="0"/>
          <w:numId w:val="51"/>
        </w:numPr>
        <w:rPr>
          <w:rFonts w:asciiTheme="minorHAnsi" w:hAnsiTheme="minorHAnsi"/>
          <w:color w:val="1F497D" w:themeColor="text2"/>
          <w:sz w:val="22"/>
          <w:szCs w:val="22"/>
        </w:rPr>
      </w:pPr>
      <w:r w:rsidRPr="00FF60FA">
        <w:rPr>
          <w:rFonts w:asciiTheme="minorHAnsi" w:hAnsiTheme="minorHAnsi"/>
          <w:color w:val="1F497D" w:themeColor="text2"/>
          <w:sz w:val="22"/>
          <w:szCs w:val="22"/>
        </w:rPr>
        <w:t xml:space="preserve">Savings of $546,595 in WBC (Wellington, Blayney, </w:t>
      </w:r>
      <w:proofErr w:type="spellStart"/>
      <w:r w:rsidRPr="00FF60FA">
        <w:rPr>
          <w:rFonts w:asciiTheme="minorHAnsi" w:hAnsiTheme="minorHAnsi"/>
          <w:color w:val="1F497D" w:themeColor="text2"/>
          <w:sz w:val="22"/>
          <w:szCs w:val="22"/>
        </w:rPr>
        <w:t>Cabonne</w:t>
      </w:r>
      <w:proofErr w:type="spellEnd"/>
      <w:r w:rsidRPr="00FF60FA">
        <w:rPr>
          <w:rFonts w:asciiTheme="minorHAnsi" w:hAnsiTheme="minorHAnsi"/>
          <w:color w:val="1F497D" w:themeColor="text2"/>
          <w:sz w:val="22"/>
          <w:szCs w:val="22"/>
        </w:rPr>
        <w:t>, Central Tablelands Councils) Alliance activities.</w:t>
      </w:r>
    </w:p>
    <w:p w:rsidR="00CC351A" w:rsidRPr="00FF60FA" w:rsidRDefault="00CC351A" w:rsidP="00CC351A">
      <w:pPr>
        <w:rPr>
          <w:color w:val="1F497D" w:themeColor="text2"/>
          <w:sz w:val="22"/>
          <w:szCs w:val="22"/>
        </w:rPr>
      </w:pPr>
    </w:p>
    <w:p w:rsidR="00CC351A" w:rsidRPr="008D7C80" w:rsidRDefault="00CC351A" w:rsidP="00CC351A">
      <w:pPr>
        <w:rPr>
          <w:rFonts w:asciiTheme="minorHAnsi" w:hAnsiTheme="minorHAnsi"/>
          <w:color w:val="1F497D" w:themeColor="text2"/>
          <w:sz w:val="22"/>
          <w:szCs w:val="22"/>
        </w:rPr>
      </w:pPr>
      <w:r w:rsidRPr="008D7C80">
        <w:rPr>
          <w:rFonts w:asciiTheme="minorHAnsi" w:hAnsiTheme="minorHAnsi"/>
          <w:color w:val="1F497D" w:themeColor="text2"/>
          <w:sz w:val="22"/>
          <w:szCs w:val="22"/>
        </w:rPr>
        <w:t>In the comparative information return for 2011/12 published by the Division of Local Government Council’s equivalent full time staff numbers were 70 as compared to the Group 10 Council average of 105.</w:t>
      </w:r>
    </w:p>
    <w:p w:rsidR="00CC351A" w:rsidRPr="008D7C80" w:rsidRDefault="00CC351A" w:rsidP="00CC351A">
      <w:pPr>
        <w:pStyle w:val="BodyText"/>
        <w:spacing w:before="0"/>
        <w:rPr>
          <w:rFonts w:asciiTheme="minorHAnsi" w:hAnsiTheme="minorHAnsi"/>
          <w:color w:val="1F497D" w:themeColor="text2"/>
          <w:sz w:val="22"/>
          <w:szCs w:val="22"/>
        </w:rPr>
      </w:pPr>
    </w:p>
    <w:p w:rsidR="00D65296" w:rsidRPr="008D7C80" w:rsidRDefault="00D65296" w:rsidP="00D65296">
      <w:pPr>
        <w:autoSpaceDE w:val="0"/>
        <w:autoSpaceDN w:val="0"/>
        <w:adjustRightInd w:val="0"/>
        <w:rPr>
          <w:rFonts w:asciiTheme="minorHAnsi" w:hAnsiTheme="minorHAnsi" w:cs="Arial"/>
          <w:color w:val="1F497D" w:themeColor="text2"/>
          <w:sz w:val="22"/>
          <w:szCs w:val="22"/>
        </w:rPr>
      </w:pPr>
      <w:r w:rsidRPr="008D7C80">
        <w:rPr>
          <w:rFonts w:asciiTheme="minorHAnsi" w:hAnsiTheme="minorHAnsi" w:cs="Arial"/>
          <w:color w:val="1F497D" w:themeColor="text2"/>
          <w:sz w:val="22"/>
          <w:szCs w:val="22"/>
        </w:rPr>
        <w:t>To complement proposed increases to general income a program is currently being drafted internally to provide an approach and options to address Council’s financial sustainability. The program will include actions which see a continuation of efficiency gains, improving revenue streams where feasible and consideration of services and service levels. If rates increases are part of the picture it can be one measure amongst a range of other actions to improve the long term viability of the Council. Current and proposed additional actions include:</w:t>
      </w:r>
    </w:p>
    <w:p w:rsidR="00D65296" w:rsidRPr="008D7C8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hAnsiTheme="minorHAnsi"/>
          <w:color w:val="1F497D" w:themeColor="text2"/>
          <w:sz w:val="22"/>
          <w:szCs w:val="22"/>
        </w:rPr>
        <w:t>review of Council controlled crown reserves</w:t>
      </w:r>
      <w:r w:rsidR="00FF60FA">
        <w:rPr>
          <w:rFonts w:asciiTheme="minorHAnsi" w:hAnsiTheme="minorHAnsi"/>
          <w:color w:val="1F497D" w:themeColor="text2"/>
          <w:sz w:val="22"/>
          <w:szCs w:val="22"/>
        </w:rPr>
        <w:t>,</w:t>
      </w:r>
    </w:p>
    <w:p w:rsidR="00D65296" w:rsidRPr="008D7C8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hAnsiTheme="minorHAnsi"/>
          <w:color w:val="1F497D" w:themeColor="text2"/>
          <w:sz w:val="22"/>
          <w:szCs w:val="22"/>
        </w:rPr>
        <w:t>service and operational reviews and adjustments – such reviews would consider service levels, pricing and productivity measures,</w:t>
      </w:r>
    </w:p>
    <w:p w:rsidR="00D65296" w:rsidRPr="008D7C8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hAnsiTheme="minorHAnsi"/>
          <w:color w:val="1F497D" w:themeColor="text2"/>
          <w:sz w:val="22"/>
          <w:szCs w:val="22"/>
        </w:rPr>
        <w:t>internal budget harvesting, centrally controlling some expenditure and setting revised revenue and expenditure parameters,</w:t>
      </w:r>
    </w:p>
    <w:p w:rsidR="00D65296" w:rsidRPr="008D7C8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hAnsiTheme="minorHAnsi"/>
          <w:color w:val="1F497D" w:themeColor="text2"/>
          <w:sz w:val="22"/>
          <w:szCs w:val="22"/>
        </w:rPr>
        <w:t>staff structures, establishment levels and delivery methods,</w:t>
      </w:r>
    </w:p>
    <w:p w:rsidR="00D65296" w:rsidRPr="008D7C8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hAnsiTheme="minorHAnsi"/>
          <w:color w:val="1F497D" w:themeColor="text2"/>
          <w:sz w:val="22"/>
          <w:szCs w:val="22"/>
        </w:rPr>
        <w:t>continued redistribution of capital funds into renewal rather than creation of new assets,</w:t>
      </w:r>
    </w:p>
    <w:p w:rsidR="00D65296" w:rsidRPr="008D7C8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hAnsiTheme="minorHAnsi"/>
          <w:color w:val="1F497D" w:themeColor="text2"/>
          <w:sz w:val="22"/>
          <w:szCs w:val="22"/>
        </w:rPr>
        <w:t>reviews of fees for services,</w:t>
      </w:r>
    </w:p>
    <w:p w:rsidR="00D65296" w:rsidRPr="008D7C8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eastAsia="SymbolMT" w:hAnsiTheme="minorHAnsi"/>
          <w:color w:val="1F497D" w:themeColor="text2"/>
          <w:sz w:val="22"/>
          <w:szCs w:val="22"/>
        </w:rPr>
        <w:t>asset rationalisation,</w:t>
      </w:r>
    </w:p>
    <w:p w:rsidR="00D65296" w:rsidRPr="008D7C8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8D7C80">
        <w:rPr>
          <w:rFonts w:asciiTheme="minorHAnsi" w:eastAsia="SymbolMT" w:hAnsiTheme="minorHAnsi"/>
          <w:color w:val="1F497D" w:themeColor="text2"/>
          <w:sz w:val="22"/>
          <w:szCs w:val="22"/>
        </w:rPr>
        <w:t>review of subsidisation, grants and donations,</w:t>
      </w:r>
    </w:p>
    <w:p w:rsidR="00D65296" w:rsidRPr="00262E00" w:rsidRDefault="00D65296"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FF60FA">
        <w:rPr>
          <w:rFonts w:asciiTheme="minorHAnsi" w:eastAsia="SymbolMT" w:hAnsiTheme="minorHAnsi"/>
          <w:color w:val="1F497D" w:themeColor="text2"/>
          <w:sz w:val="22"/>
          <w:szCs w:val="22"/>
        </w:rPr>
        <w:t>entrepreneurial and shared service opti</w:t>
      </w:r>
      <w:r w:rsidR="00FF60FA">
        <w:rPr>
          <w:rFonts w:asciiTheme="minorHAnsi" w:eastAsia="SymbolMT" w:hAnsiTheme="minorHAnsi"/>
          <w:color w:val="1F497D" w:themeColor="text2"/>
          <w:sz w:val="22"/>
          <w:szCs w:val="22"/>
        </w:rPr>
        <w:t>ons,</w:t>
      </w:r>
    </w:p>
    <w:p w:rsidR="00262E00" w:rsidRPr="00FF60FA" w:rsidRDefault="00262E00" w:rsidP="00316A5C">
      <w:pPr>
        <w:pStyle w:val="ListParagraph"/>
        <w:numPr>
          <w:ilvl w:val="0"/>
          <w:numId w:val="33"/>
        </w:numPr>
        <w:autoSpaceDE w:val="0"/>
        <w:autoSpaceDN w:val="0"/>
        <w:adjustRightInd w:val="0"/>
        <w:rPr>
          <w:rFonts w:asciiTheme="minorHAnsi" w:hAnsiTheme="minorHAnsi"/>
          <w:color w:val="1F497D" w:themeColor="text2"/>
          <w:sz w:val="22"/>
          <w:szCs w:val="22"/>
        </w:rPr>
      </w:pPr>
      <w:r w:rsidRPr="00FF60FA">
        <w:rPr>
          <w:rFonts w:asciiTheme="minorHAnsi" w:eastAsia="SymbolMT" w:hAnsiTheme="minorHAnsi"/>
          <w:color w:val="1F497D" w:themeColor="text2"/>
          <w:sz w:val="22"/>
          <w:szCs w:val="22"/>
        </w:rPr>
        <w:t>WBC Alliance consultancy to extend shared services by KPMG.</w:t>
      </w:r>
    </w:p>
    <w:p w:rsidR="00CC351A" w:rsidRDefault="00CC351A" w:rsidP="00CC351A">
      <w:pPr>
        <w:pStyle w:val="BodyText"/>
        <w:spacing w:before="0"/>
        <w:rPr>
          <w:rFonts w:asciiTheme="minorHAnsi" w:hAnsiTheme="minorHAnsi"/>
          <w:sz w:val="22"/>
          <w:szCs w:val="22"/>
        </w:rPr>
      </w:pPr>
    </w:p>
    <w:p w:rsidR="001E15EB" w:rsidRPr="00B17EC1" w:rsidRDefault="001E15EB" w:rsidP="007D4EFB">
      <w:pPr>
        <w:pStyle w:val="Heading1"/>
        <w:spacing w:before="0"/>
      </w:pPr>
      <w:bookmarkStart w:id="38" w:name="_Toc380956903"/>
      <w:r w:rsidRPr="00B17EC1">
        <w:t>Other information</w:t>
      </w:r>
      <w:bookmarkEnd w:id="38"/>
    </w:p>
    <w:p w:rsidR="00044894" w:rsidRDefault="00044894" w:rsidP="00316F2A">
      <w:pPr>
        <w:pStyle w:val="Heading2"/>
      </w:pPr>
      <w:bookmarkStart w:id="39" w:name="_Toc380956904"/>
      <w:r>
        <w:t>Previous Instruments of Approval</w:t>
      </w:r>
      <w:bookmarkEnd w:id="39"/>
    </w:p>
    <w:p w:rsidR="000F30C1" w:rsidRDefault="005366F0" w:rsidP="00044894">
      <w:pPr>
        <w:pStyle w:val="BodyText"/>
      </w:pPr>
      <w:r>
        <w:t xml:space="preserve">If you </w:t>
      </w:r>
      <w:r w:rsidR="006D35C8">
        <w:t>ha</w:t>
      </w:r>
      <w:r w:rsidR="00DA5795">
        <w:t>ve</w:t>
      </w:r>
      <w:r>
        <w:t xml:space="preserve"> a special variation which is due to expire </w:t>
      </w:r>
      <w:r w:rsidR="00461DD4">
        <w:t>at the end of this financial year or during</w:t>
      </w:r>
      <w:r>
        <w:t xml:space="preserve"> the </w:t>
      </w:r>
      <w:r w:rsidR="00461DD4">
        <w:t xml:space="preserve">period of the </w:t>
      </w:r>
      <w:r>
        <w:t xml:space="preserve">proposed special variation, </w:t>
      </w:r>
      <w:r w:rsidR="000F30C1">
        <w:t>when was it approved and what was its purpose?</w:t>
      </w:r>
    </w:p>
    <w:p w:rsidR="00044894" w:rsidRDefault="000F30C1" w:rsidP="00044894">
      <w:pPr>
        <w:pStyle w:val="BodyText"/>
      </w:pPr>
      <w:r>
        <w:t>P</w:t>
      </w:r>
      <w:r w:rsidR="00461DD4">
        <w:t>lease</w:t>
      </w:r>
      <w:r w:rsidR="005366F0">
        <w:t xml:space="preserve"> attach a copy of the Instrument of Approval </w:t>
      </w:r>
      <w:r w:rsidR="00461DD4">
        <w:t>that</w:t>
      </w:r>
      <w:r w:rsidR="005366F0">
        <w:t xml:space="preserve"> has been signed by the Minister or IPART Chairman.</w:t>
      </w:r>
    </w:p>
    <w:p w:rsidR="000F30C1" w:rsidRDefault="000F30C1" w:rsidP="007C4C31">
      <w:pPr>
        <w:rPr>
          <w:rFonts w:asciiTheme="minorHAnsi" w:hAnsiTheme="minorHAnsi"/>
          <w:sz w:val="22"/>
          <w:szCs w:val="22"/>
        </w:rPr>
      </w:pPr>
    </w:p>
    <w:p w:rsidR="007C4C31" w:rsidRPr="00BE21CC" w:rsidRDefault="007C4C31" w:rsidP="007C4C31">
      <w:pPr>
        <w:rPr>
          <w:rFonts w:asciiTheme="minorHAnsi" w:hAnsiTheme="minorHAnsi"/>
          <w:b/>
          <w:color w:val="1F497D" w:themeColor="text2"/>
          <w:sz w:val="22"/>
          <w:szCs w:val="22"/>
        </w:rPr>
      </w:pPr>
      <w:r w:rsidRPr="00BE21CC">
        <w:rPr>
          <w:rFonts w:asciiTheme="minorHAnsi" w:hAnsiTheme="minorHAnsi"/>
          <w:b/>
          <w:color w:val="1F497D" w:themeColor="text2"/>
          <w:sz w:val="22"/>
          <w:szCs w:val="22"/>
        </w:rPr>
        <w:t>Response:</w:t>
      </w:r>
    </w:p>
    <w:p w:rsidR="007C4C31" w:rsidRDefault="007C4C31" w:rsidP="007C4C31">
      <w:pPr>
        <w:rPr>
          <w:rFonts w:asciiTheme="minorHAnsi" w:hAnsiTheme="minorHAnsi"/>
          <w:color w:val="1F497D" w:themeColor="text2"/>
          <w:sz w:val="22"/>
          <w:szCs w:val="22"/>
        </w:rPr>
      </w:pPr>
      <w:r w:rsidRPr="008D7C80">
        <w:rPr>
          <w:rFonts w:asciiTheme="minorHAnsi" w:hAnsiTheme="minorHAnsi"/>
          <w:color w:val="1F497D" w:themeColor="text2"/>
          <w:sz w:val="22"/>
          <w:szCs w:val="22"/>
        </w:rPr>
        <w:t>Council does not have a special variation due to expire in this special rate variation period (two years) however Council has made provision for the Blayney Community Centre Special Variation due to expire in 2017/18 to end on 30 June 2016. This will be subject to the finalisation of project costs.</w:t>
      </w:r>
    </w:p>
    <w:p w:rsidR="00BE21CC" w:rsidRDefault="00BE21CC" w:rsidP="007C4C31">
      <w:pPr>
        <w:rPr>
          <w:rFonts w:asciiTheme="minorHAnsi" w:hAnsiTheme="minorHAnsi"/>
          <w:color w:val="1F497D" w:themeColor="text2"/>
          <w:sz w:val="22"/>
          <w:szCs w:val="22"/>
        </w:rPr>
      </w:pPr>
    </w:p>
    <w:p w:rsidR="007C4C31" w:rsidRPr="008D7C80" w:rsidRDefault="00BE21CC" w:rsidP="007C4C31">
      <w:pPr>
        <w:rPr>
          <w:rFonts w:asciiTheme="minorHAnsi" w:hAnsiTheme="minorHAnsi"/>
          <w:color w:val="1F497D" w:themeColor="text2"/>
          <w:sz w:val="22"/>
          <w:szCs w:val="22"/>
        </w:rPr>
      </w:pPr>
      <w:r>
        <w:rPr>
          <w:rFonts w:asciiTheme="minorHAnsi" w:hAnsiTheme="minorHAnsi"/>
          <w:color w:val="1F497D" w:themeColor="text2"/>
          <w:sz w:val="22"/>
          <w:szCs w:val="22"/>
        </w:rPr>
        <w:t>A copy of this instrument is provided as an attachment for information.</w:t>
      </w:r>
    </w:p>
    <w:p w:rsidR="00AB72FC" w:rsidRPr="00B17EC1" w:rsidRDefault="00AB72FC" w:rsidP="00316F2A">
      <w:pPr>
        <w:pStyle w:val="Heading2"/>
      </w:pPr>
      <w:bookmarkStart w:id="40" w:name="_Toc380956905"/>
      <w:r w:rsidRPr="00B17EC1">
        <w:lastRenderedPageBreak/>
        <w:t>Reporting</w:t>
      </w:r>
      <w:r w:rsidR="006D1BCD">
        <w:t xml:space="preserve"> to your community</w:t>
      </w:r>
      <w:bookmarkEnd w:id="40"/>
    </w:p>
    <w:p w:rsidR="00277375" w:rsidRDefault="00461DD4" w:rsidP="00277375">
      <w:pPr>
        <w:pStyle w:val="BodyText"/>
      </w:pPr>
      <w:r>
        <w:t xml:space="preserve">The </w:t>
      </w:r>
      <w:r w:rsidRPr="00A62EE3">
        <w:rPr>
          <w:i/>
        </w:rPr>
        <w:t>Guidelines</w:t>
      </w:r>
      <w:r>
        <w:t xml:space="preserve"> set out reporting mechanisms that </w:t>
      </w:r>
      <w:r w:rsidR="00A62EE3">
        <w:t xml:space="preserve">show your accountability to </w:t>
      </w:r>
      <w:r>
        <w:t>you</w:t>
      </w:r>
      <w:r w:rsidR="00A62EE3">
        <w:t>r community.  Please tell us</w:t>
      </w:r>
      <w:r>
        <w:t xml:space="preserve"> how you</w:t>
      </w:r>
      <w:r w:rsidR="00AB72FC" w:rsidRPr="00B17EC1">
        <w:t xml:space="preserve"> will </w:t>
      </w:r>
      <w:r>
        <w:t>go about</w:t>
      </w:r>
      <w:r w:rsidR="00682DC0">
        <w:t xml:space="preserve"> transparently report</w:t>
      </w:r>
      <w:r>
        <w:t>ing</w:t>
      </w:r>
      <w:r w:rsidR="00682DC0">
        <w:t xml:space="preserve"> to the</w:t>
      </w:r>
      <w:r w:rsidR="00AB72FC" w:rsidRPr="00B17EC1">
        <w:t xml:space="preserve"> community on the </w:t>
      </w:r>
      <w:r>
        <w:t xml:space="preserve">proposed </w:t>
      </w:r>
      <w:r w:rsidR="00AB72FC" w:rsidRPr="00B17EC1">
        <w:t>special variation</w:t>
      </w:r>
      <w:r>
        <w:t>,</w:t>
      </w:r>
      <w:r w:rsidR="00CE246F">
        <w:t xml:space="preserve"> </w:t>
      </w:r>
      <w:r w:rsidR="00E815A0">
        <w:t>should it be</w:t>
      </w:r>
      <w:r>
        <w:t xml:space="preserve"> approved. Also indicate the</w:t>
      </w:r>
      <w:r w:rsidR="00277375">
        <w:t xml:space="preserve"> performance measures </w:t>
      </w:r>
      <w:r>
        <w:t xml:space="preserve">you will use to </w:t>
      </w:r>
      <w:r w:rsidR="00A62EE3">
        <w:t xml:space="preserve">demonstrate </w:t>
      </w:r>
      <w:r w:rsidR="006C5646">
        <w:t>how</w:t>
      </w:r>
      <w:r w:rsidR="00A62EE3">
        <w:t xml:space="preserve"> you have</w:t>
      </w:r>
      <w:r>
        <w:t xml:space="preserve"> use</w:t>
      </w:r>
      <w:r w:rsidR="00A62EE3">
        <w:t>d</w:t>
      </w:r>
      <w:r>
        <w:t xml:space="preserve"> the additional funds (above the rate peg) </w:t>
      </w:r>
      <w:r w:rsidR="00A62EE3">
        <w:t>generated by</w:t>
      </w:r>
      <w:r>
        <w:t xml:space="preserve"> the special variation.</w:t>
      </w:r>
    </w:p>
    <w:p w:rsidR="004849AF" w:rsidRDefault="004849AF" w:rsidP="004849AF"/>
    <w:p w:rsidR="002E4877" w:rsidRPr="00F17129" w:rsidRDefault="002E4877" w:rsidP="004849AF">
      <w:pPr>
        <w:rPr>
          <w:rFonts w:asciiTheme="minorHAnsi" w:hAnsiTheme="minorHAnsi"/>
          <w:b/>
          <w:color w:val="1F497D" w:themeColor="text2"/>
          <w:sz w:val="22"/>
          <w:szCs w:val="22"/>
        </w:rPr>
      </w:pPr>
      <w:r w:rsidRPr="00F17129">
        <w:rPr>
          <w:rFonts w:asciiTheme="minorHAnsi" w:hAnsiTheme="minorHAnsi"/>
          <w:b/>
          <w:color w:val="1F497D" w:themeColor="text2"/>
          <w:sz w:val="22"/>
          <w:szCs w:val="22"/>
        </w:rPr>
        <w:t>Response:</w:t>
      </w:r>
    </w:p>
    <w:p w:rsidR="004849AF" w:rsidRPr="00F17129" w:rsidRDefault="004849AF" w:rsidP="004849AF">
      <w:pPr>
        <w:rPr>
          <w:rFonts w:asciiTheme="minorHAnsi" w:hAnsiTheme="minorHAnsi"/>
          <w:color w:val="1F497D" w:themeColor="text2"/>
          <w:sz w:val="22"/>
          <w:szCs w:val="22"/>
        </w:rPr>
      </w:pPr>
      <w:r w:rsidRPr="00F17129">
        <w:rPr>
          <w:rFonts w:asciiTheme="minorHAnsi" w:hAnsiTheme="minorHAnsi"/>
          <w:color w:val="1F497D" w:themeColor="text2"/>
          <w:sz w:val="22"/>
          <w:szCs w:val="22"/>
        </w:rPr>
        <w:t>Blayney Shire Council will continue to report against each approved special variation as is its current practice. It will also incorporate productivity offsets into Council’s annual reporting and end of term reporting into the future.</w:t>
      </w:r>
    </w:p>
    <w:p w:rsidR="004849AF" w:rsidRPr="00F17129" w:rsidRDefault="004849AF" w:rsidP="004849AF">
      <w:pPr>
        <w:rPr>
          <w:rFonts w:asciiTheme="minorHAnsi" w:hAnsiTheme="minorHAnsi"/>
          <w:color w:val="1F497D" w:themeColor="text2"/>
          <w:sz w:val="22"/>
          <w:szCs w:val="22"/>
        </w:rPr>
      </w:pPr>
    </w:p>
    <w:p w:rsidR="004849AF" w:rsidRPr="00F17129" w:rsidRDefault="004849AF" w:rsidP="004849AF">
      <w:pPr>
        <w:rPr>
          <w:rFonts w:asciiTheme="minorHAnsi" w:hAnsiTheme="minorHAnsi"/>
          <w:color w:val="1F497D" w:themeColor="text2"/>
          <w:sz w:val="22"/>
          <w:szCs w:val="22"/>
        </w:rPr>
      </w:pPr>
      <w:r w:rsidRPr="00F17129">
        <w:rPr>
          <w:rFonts w:asciiTheme="minorHAnsi" w:hAnsiTheme="minorHAnsi"/>
          <w:color w:val="1F497D" w:themeColor="text2"/>
          <w:sz w:val="22"/>
          <w:szCs w:val="22"/>
        </w:rPr>
        <w:t>In the L</w:t>
      </w:r>
      <w:r w:rsidR="008C6884">
        <w:rPr>
          <w:rFonts w:asciiTheme="minorHAnsi" w:hAnsiTheme="minorHAnsi"/>
          <w:color w:val="1F497D" w:themeColor="text2"/>
          <w:sz w:val="22"/>
          <w:szCs w:val="22"/>
        </w:rPr>
        <w:t>ong Term Financial Plan</w:t>
      </w:r>
      <w:r w:rsidRPr="00F17129">
        <w:rPr>
          <w:rFonts w:asciiTheme="minorHAnsi" w:hAnsiTheme="minorHAnsi"/>
          <w:color w:val="1F497D" w:themeColor="text2"/>
          <w:sz w:val="22"/>
          <w:szCs w:val="22"/>
        </w:rPr>
        <w:t xml:space="preserve"> Special Rate Variation approvals are identified noting the project and activities funded from the variation. The annual report then also identifies financial activity against each of these items. </w:t>
      </w:r>
    </w:p>
    <w:p w:rsidR="004849AF" w:rsidRPr="00F17129" w:rsidRDefault="004849AF" w:rsidP="004849AF">
      <w:pPr>
        <w:rPr>
          <w:rFonts w:asciiTheme="minorHAnsi" w:hAnsiTheme="minorHAnsi"/>
          <w:color w:val="1F497D" w:themeColor="text2"/>
          <w:sz w:val="22"/>
          <w:szCs w:val="22"/>
        </w:rPr>
      </w:pPr>
    </w:p>
    <w:p w:rsidR="00277375" w:rsidRPr="00F17129" w:rsidRDefault="004849AF" w:rsidP="00B977E7">
      <w:pPr>
        <w:rPr>
          <w:rFonts w:asciiTheme="minorHAnsi" w:hAnsiTheme="minorHAnsi"/>
          <w:color w:val="1F497D" w:themeColor="text2"/>
          <w:sz w:val="22"/>
          <w:szCs w:val="22"/>
        </w:rPr>
      </w:pPr>
      <w:r w:rsidRPr="00F17129">
        <w:rPr>
          <w:rFonts w:asciiTheme="minorHAnsi" w:hAnsiTheme="minorHAnsi"/>
          <w:color w:val="1F497D" w:themeColor="text2"/>
          <w:sz w:val="22"/>
          <w:szCs w:val="22"/>
        </w:rPr>
        <w:t xml:space="preserve">Council has previously reported on the productivity offsets </w:t>
      </w:r>
      <w:r w:rsidR="00B977E7" w:rsidRPr="00F17129">
        <w:rPr>
          <w:rFonts w:asciiTheme="minorHAnsi" w:hAnsiTheme="minorHAnsi"/>
          <w:color w:val="1F497D" w:themeColor="text2"/>
          <w:sz w:val="22"/>
          <w:szCs w:val="22"/>
        </w:rPr>
        <w:t xml:space="preserve">and </w:t>
      </w:r>
      <w:r w:rsidRPr="00F17129">
        <w:rPr>
          <w:rFonts w:asciiTheme="minorHAnsi" w:hAnsiTheme="minorHAnsi"/>
          <w:color w:val="1F497D" w:themeColor="text2"/>
          <w:sz w:val="22"/>
          <w:szCs w:val="22"/>
        </w:rPr>
        <w:t xml:space="preserve">will </w:t>
      </w:r>
      <w:r w:rsidR="00B977E7" w:rsidRPr="00F17129">
        <w:rPr>
          <w:rFonts w:asciiTheme="minorHAnsi" w:hAnsiTheme="minorHAnsi"/>
          <w:color w:val="1F497D" w:themeColor="text2"/>
          <w:sz w:val="22"/>
          <w:szCs w:val="22"/>
        </w:rPr>
        <w:t xml:space="preserve">continue to </w:t>
      </w:r>
      <w:r w:rsidRPr="00F17129">
        <w:rPr>
          <w:rFonts w:asciiTheme="minorHAnsi" w:hAnsiTheme="minorHAnsi"/>
          <w:color w:val="1F497D" w:themeColor="text2"/>
          <w:sz w:val="22"/>
          <w:szCs w:val="22"/>
        </w:rPr>
        <w:t>incorporate</w:t>
      </w:r>
      <w:r w:rsidR="00B977E7" w:rsidRPr="00F17129">
        <w:rPr>
          <w:rFonts w:asciiTheme="minorHAnsi" w:hAnsiTheme="minorHAnsi"/>
          <w:color w:val="1F497D" w:themeColor="text2"/>
          <w:sz w:val="22"/>
          <w:szCs w:val="22"/>
        </w:rPr>
        <w:t xml:space="preserve"> this </w:t>
      </w:r>
      <w:r w:rsidRPr="00F17129">
        <w:rPr>
          <w:rFonts w:asciiTheme="minorHAnsi" w:hAnsiTheme="minorHAnsi"/>
          <w:color w:val="1F497D" w:themeColor="text2"/>
          <w:sz w:val="22"/>
          <w:szCs w:val="22"/>
        </w:rPr>
        <w:t>into Council’s annual reporting and end of term reporting into the future.</w:t>
      </w:r>
    </w:p>
    <w:p w:rsidR="00A94806" w:rsidRPr="00B17EC1" w:rsidRDefault="009D0F50" w:rsidP="00A40812">
      <w:pPr>
        <w:pStyle w:val="Heading2"/>
      </w:pPr>
      <w:bookmarkStart w:id="41" w:name="_Toc380956906"/>
      <w:bookmarkStart w:id="42" w:name="OLE_LINK17"/>
      <w:r w:rsidRPr="00B17EC1">
        <w:t xml:space="preserve">Council </w:t>
      </w:r>
      <w:r w:rsidR="00B64BC5" w:rsidRPr="00B17EC1">
        <w:t>r</w:t>
      </w:r>
      <w:r w:rsidR="00A94806" w:rsidRPr="00B17EC1">
        <w:t>esolution</w:t>
      </w:r>
      <w:r w:rsidR="006D1BCD">
        <w:t xml:space="preserve"> to apply to IPART</w:t>
      </w:r>
      <w:bookmarkEnd w:id="41"/>
    </w:p>
    <w:bookmarkEnd w:id="42"/>
    <w:p w:rsidR="00277375" w:rsidRDefault="000F30C1" w:rsidP="00A40812">
      <w:pPr>
        <w:pStyle w:val="BodyText"/>
      </w:pPr>
      <w:r>
        <w:t>The Guidelines require the council to have resolved to apply for a special variation. Please a</w:t>
      </w:r>
      <w:r w:rsidR="00277375" w:rsidRPr="008333E6">
        <w:rPr>
          <w:rFonts w:cs="Arial"/>
        </w:rPr>
        <w:t xml:space="preserve">ttach a </w:t>
      </w:r>
      <w:r w:rsidR="00277375" w:rsidRPr="008333E6">
        <w:t xml:space="preserve">copy of </w:t>
      </w:r>
      <w:r w:rsidR="00682DC0">
        <w:t>the c</w:t>
      </w:r>
      <w:r w:rsidR="00277375" w:rsidRPr="008333E6">
        <w:t xml:space="preserve">ouncil’s resolution to </w:t>
      </w:r>
      <w:r w:rsidR="00645BA5">
        <w:t>make a special variation application</w:t>
      </w:r>
      <w:r w:rsidR="00E84211">
        <w:t>.</w:t>
      </w:r>
      <w:r w:rsidR="006D1BCD">
        <w:t xml:space="preserve">  Our </w:t>
      </w:r>
      <w:r w:rsidR="00277375" w:rsidRPr="008333E6">
        <w:t xml:space="preserve">assessment of the application cannot </w:t>
      </w:r>
      <w:r w:rsidR="00C81472">
        <w:t>commence</w:t>
      </w:r>
      <w:r w:rsidR="00277375" w:rsidRPr="008333E6">
        <w:t xml:space="preserve"> without </w:t>
      </w:r>
      <w:r w:rsidR="006D1BCD">
        <w:t>it.</w:t>
      </w:r>
    </w:p>
    <w:p w:rsidR="009B61BA" w:rsidRDefault="009B61BA" w:rsidP="009B61BA">
      <w:pPr>
        <w:rPr>
          <w:rFonts w:asciiTheme="minorHAnsi" w:hAnsiTheme="minorHAnsi"/>
          <w:b/>
          <w:sz w:val="22"/>
          <w:szCs w:val="22"/>
          <w:highlight w:val="yellow"/>
        </w:rPr>
      </w:pPr>
    </w:p>
    <w:p w:rsidR="000F30C1" w:rsidRPr="008D7C80" w:rsidRDefault="009B61BA" w:rsidP="009B61BA">
      <w:pPr>
        <w:rPr>
          <w:rFonts w:asciiTheme="minorHAnsi" w:hAnsiTheme="minorHAnsi"/>
          <w:b/>
          <w:color w:val="1F497D" w:themeColor="text2"/>
          <w:sz w:val="22"/>
          <w:szCs w:val="22"/>
        </w:rPr>
      </w:pPr>
      <w:r w:rsidRPr="008D7C80">
        <w:rPr>
          <w:rFonts w:asciiTheme="minorHAnsi" w:hAnsiTheme="minorHAnsi"/>
          <w:b/>
          <w:color w:val="1F497D" w:themeColor="text2"/>
          <w:sz w:val="22"/>
          <w:szCs w:val="22"/>
        </w:rPr>
        <w:t>Response:</w:t>
      </w:r>
    </w:p>
    <w:p w:rsidR="009B61BA" w:rsidRPr="008D7C80" w:rsidRDefault="009B61BA" w:rsidP="009B61BA">
      <w:pPr>
        <w:rPr>
          <w:rFonts w:asciiTheme="minorHAnsi" w:hAnsiTheme="minorHAnsi"/>
          <w:color w:val="1F497D" w:themeColor="text2"/>
          <w:sz w:val="22"/>
          <w:szCs w:val="22"/>
        </w:rPr>
      </w:pPr>
      <w:r w:rsidRPr="008D7C80">
        <w:rPr>
          <w:rFonts w:asciiTheme="minorHAnsi" w:hAnsiTheme="minorHAnsi"/>
          <w:color w:val="1F497D" w:themeColor="text2"/>
          <w:sz w:val="22"/>
          <w:szCs w:val="22"/>
        </w:rPr>
        <w:t xml:space="preserve">At its Ordinary meeting held 11 November 2013 Council resolved as follows: </w:t>
      </w:r>
    </w:p>
    <w:p w:rsidR="009B61BA" w:rsidRPr="008D7C80" w:rsidRDefault="009B61BA" w:rsidP="009B61BA">
      <w:pPr>
        <w:rPr>
          <w:rFonts w:asciiTheme="minorHAnsi" w:hAnsiTheme="minorHAnsi"/>
          <w:i/>
          <w:color w:val="1F497D" w:themeColor="text2"/>
          <w:sz w:val="22"/>
          <w:szCs w:val="22"/>
        </w:rPr>
      </w:pPr>
    </w:p>
    <w:p w:rsidR="009B61BA" w:rsidRPr="008C6884" w:rsidRDefault="009B61BA" w:rsidP="009B61BA">
      <w:pPr>
        <w:ind w:left="360" w:hanging="360"/>
        <w:rPr>
          <w:rFonts w:asciiTheme="minorHAnsi" w:eastAsiaTheme="minorHAnsi" w:hAnsiTheme="minorHAnsi" w:cs="Arial"/>
          <w:i/>
          <w:color w:val="1F497D" w:themeColor="text2"/>
          <w:sz w:val="22"/>
          <w:szCs w:val="22"/>
        </w:rPr>
      </w:pPr>
      <w:r w:rsidRPr="008D7C80">
        <w:rPr>
          <w:rFonts w:asciiTheme="minorHAnsi" w:eastAsiaTheme="minorHAnsi" w:hAnsiTheme="minorHAnsi" w:cs="Arial"/>
          <w:i/>
          <w:color w:val="1F497D" w:themeColor="text2"/>
          <w:sz w:val="22"/>
          <w:szCs w:val="22"/>
        </w:rPr>
        <w:t>Minute number: 1311/003</w:t>
      </w:r>
    </w:p>
    <w:p w:rsidR="009B61BA" w:rsidRPr="008C6884" w:rsidRDefault="009B61BA" w:rsidP="009B61BA">
      <w:pPr>
        <w:ind w:left="360" w:hanging="360"/>
        <w:rPr>
          <w:rFonts w:asciiTheme="minorHAnsi" w:eastAsiaTheme="minorHAnsi" w:hAnsiTheme="minorHAnsi" w:cs="Arial"/>
          <w:i/>
          <w:color w:val="1F497D" w:themeColor="text2"/>
          <w:sz w:val="22"/>
          <w:szCs w:val="22"/>
        </w:rPr>
      </w:pPr>
    </w:p>
    <w:p w:rsidR="009B61BA" w:rsidRPr="008C6884" w:rsidRDefault="009B61BA" w:rsidP="009B61BA">
      <w:pPr>
        <w:ind w:left="360" w:hanging="360"/>
        <w:rPr>
          <w:rFonts w:asciiTheme="minorHAnsi" w:hAnsiTheme="minorHAnsi" w:cs="Arial"/>
          <w:b/>
          <w:i/>
          <w:caps/>
          <w:color w:val="1F497D" w:themeColor="text2"/>
          <w:sz w:val="22"/>
          <w:szCs w:val="22"/>
          <w:u w:val="single"/>
        </w:rPr>
      </w:pPr>
      <w:r w:rsidRPr="008C6884">
        <w:rPr>
          <w:rFonts w:asciiTheme="minorHAnsi" w:hAnsiTheme="minorHAnsi" w:cs="Arial"/>
          <w:b/>
          <w:i/>
          <w:caps/>
          <w:color w:val="1F497D" w:themeColor="text2"/>
          <w:sz w:val="22"/>
          <w:szCs w:val="22"/>
          <w:u w:val="single"/>
        </w:rPr>
        <w:t>Special Rate Variation</w:t>
      </w:r>
    </w:p>
    <w:p w:rsidR="009B61BA" w:rsidRPr="008C6884" w:rsidRDefault="009B61BA" w:rsidP="009B61BA">
      <w:pPr>
        <w:ind w:left="360" w:hanging="360"/>
        <w:rPr>
          <w:rFonts w:asciiTheme="minorHAnsi" w:eastAsiaTheme="minorHAnsi" w:hAnsiTheme="minorHAnsi" w:cs="Arial"/>
          <w:i/>
          <w:color w:val="1F497D" w:themeColor="text2"/>
          <w:sz w:val="22"/>
          <w:szCs w:val="22"/>
        </w:rPr>
      </w:pPr>
    </w:p>
    <w:p w:rsidR="009B61BA" w:rsidRPr="008C6884" w:rsidRDefault="009B61BA" w:rsidP="009B61BA">
      <w:pPr>
        <w:ind w:left="360" w:hanging="360"/>
        <w:rPr>
          <w:rFonts w:asciiTheme="minorHAnsi" w:eastAsiaTheme="minorHAnsi" w:hAnsiTheme="minorHAnsi" w:cs="Arial"/>
          <w:b/>
          <w:i/>
          <w:color w:val="1F497D" w:themeColor="text2"/>
          <w:sz w:val="22"/>
          <w:szCs w:val="22"/>
        </w:rPr>
      </w:pPr>
      <w:r w:rsidRPr="008C6884">
        <w:rPr>
          <w:rFonts w:asciiTheme="minorHAnsi" w:eastAsiaTheme="minorHAnsi" w:hAnsiTheme="minorHAnsi" w:cs="Arial"/>
          <w:b/>
          <w:i/>
          <w:color w:val="1F497D" w:themeColor="text2"/>
          <w:sz w:val="22"/>
          <w:szCs w:val="22"/>
        </w:rPr>
        <w:t>RESOLVED:</w:t>
      </w:r>
    </w:p>
    <w:p w:rsidR="009B61BA" w:rsidRPr="008C6884" w:rsidRDefault="009B61BA" w:rsidP="009B61BA">
      <w:pPr>
        <w:ind w:left="360" w:hanging="360"/>
        <w:rPr>
          <w:rFonts w:asciiTheme="minorHAnsi" w:eastAsiaTheme="minorHAnsi" w:hAnsiTheme="minorHAnsi" w:cs="Arial"/>
          <w:i/>
          <w:color w:val="1F497D" w:themeColor="text2"/>
          <w:sz w:val="22"/>
          <w:szCs w:val="22"/>
        </w:rPr>
      </w:pPr>
      <w:r w:rsidRPr="008C6884">
        <w:rPr>
          <w:rFonts w:asciiTheme="minorHAnsi" w:eastAsiaTheme="minorHAnsi" w:hAnsiTheme="minorHAnsi" w:cs="Arial"/>
          <w:i/>
          <w:color w:val="1F497D" w:themeColor="text2"/>
          <w:sz w:val="22"/>
          <w:szCs w:val="22"/>
        </w:rPr>
        <w:t>1.</w:t>
      </w:r>
      <w:r w:rsidRPr="008C6884">
        <w:rPr>
          <w:rFonts w:asciiTheme="minorHAnsi" w:eastAsiaTheme="minorHAnsi" w:hAnsiTheme="minorHAnsi" w:cs="Arial"/>
          <w:i/>
          <w:color w:val="1F497D" w:themeColor="text2"/>
          <w:sz w:val="22"/>
          <w:szCs w:val="22"/>
        </w:rPr>
        <w:tab/>
        <w:t>That Council apply to IPART for a Special Rate Variation of 6% across all rating categories for 2 years starting 2014/2015 financial year excluding existing Special Rate Variations in place;</w:t>
      </w:r>
    </w:p>
    <w:p w:rsidR="009B61BA" w:rsidRPr="008C6884" w:rsidRDefault="009B61BA" w:rsidP="009B61BA">
      <w:pPr>
        <w:ind w:left="360" w:hanging="360"/>
        <w:rPr>
          <w:rFonts w:asciiTheme="minorHAnsi" w:eastAsiaTheme="minorHAnsi" w:hAnsiTheme="minorHAnsi" w:cs="Arial"/>
          <w:i/>
          <w:color w:val="1F497D" w:themeColor="text2"/>
          <w:sz w:val="22"/>
          <w:szCs w:val="22"/>
        </w:rPr>
      </w:pPr>
      <w:r w:rsidRPr="008C6884">
        <w:rPr>
          <w:rFonts w:asciiTheme="minorHAnsi" w:eastAsiaTheme="minorHAnsi" w:hAnsiTheme="minorHAnsi" w:cs="Arial"/>
          <w:i/>
          <w:color w:val="1F497D" w:themeColor="text2"/>
          <w:sz w:val="22"/>
          <w:szCs w:val="22"/>
        </w:rPr>
        <w:t>2.</w:t>
      </w:r>
      <w:r w:rsidRPr="008C6884">
        <w:rPr>
          <w:rFonts w:asciiTheme="minorHAnsi" w:eastAsiaTheme="minorHAnsi" w:hAnsiTheme="minorHAnsi" w:cs="Arial"/>
          <w:i/>
          <w:color w:val="1F497D" w:themeColor="text2"/>
          <w:sz w:val="22"/>
          <w:szCs w:val="22"/>
        </w:rPr>
        <w:tab/>
        <w:t>That Council modifies its Long Term Financial Plan to project rate increases of 6% for Farmland rate category and 10% for all other categories, excluding existing Special Rate Variations in place, for 4 years starting financial year 2016/2017;</w:t>
      </w:r>
    </w:p>
    <w:p w:rsidR="009B61BA" w:rsidRPr="008C6884" w:rsidRDefault="009B61BA" w:rsidP="009B61BA">
      <w:pPr>
        <w:ind w:left="360" w:hanging="360"/>
        <w:rPr>
          <w:rFonts w:asciiTheme="minorHAnsi" w:eastAsiaTheme="minorHAnsi" w:hAnsiTheme="minorHAnsi" w:cs="Arial"/>
          <w:i/>
          <w:color w:val="1F497D" w:themeColor="text2"/>
          <w:sz w:val="22"/>
          <w:szCs w:val="22"/>
        </w:rPr>
      </w:pPr>
      <w:r w:rsidRPr="008C6884">
        <w:rPr>
          <w:rFonts w:asciiTheme="minorHAnsi" w:eastAsiaTheme="minorHAnsi" w:hAnsiTheme="minorHAnsi" w:cs="Arial"/>
          <w:i/>
          <w:color w:val="1F497D" w:themeColor="text2"/>
          <w:sz w:val="22"/>
          <w:szCs w:val="22"/>
        </w:rPr>
        <w:t>3.</w:t>
      </w:r>
      <w:r w:rsidRPr="008C6884">
        <w:rPr>
          <w:rFonts w:asciiTheme="minorHAnsi" w:eastAsiaTheme="minorHAnsi" w:hAnsiTheme="minorHAnsi" w:cs="Arial"/>
          <w:i/>
          <w:color w:val="1F497D" w:themeColor="text2"/>
          <w:sz w:val="22"/>
          <w:szCs w:val="22"/>
        </w:rPr>
        <w:tab/>
        <w:t>That Council undertake a review of the rating structure to combine rate groups and review the base rate for the new rate descriptions;</w:t>
      </w:r>
    </w:p>
    <w:p w:rsidR="009B61BA" w:rsidRPr="008C6884" w:rsidRDefault="009B61BA" w:rsidP="009B61BA">
      <w:pPr>
        <w:ind w:left="360" w:hanging="360"/>
        <w:rPr>
          <w:rFonts w:asciiTheme="minorHAnsi" w:eastAsiaTheme="minorHAnsi" w:hAnsiTheme="minorHAnsi" w:cs="Arial"/>
          <w:i/>
          <w:color w:val="1F497D" w:themeColor="text2"/>
          <w:sz w:val="22"/>
          <w:szCs w:val="22"/>
        </w:rPr>
      </w:pPr>
      <w:r w:rsidRPr="008C6884">
        <w:rPr>
          <w:rFonts w:asciiTheme="minorHAnsi" w:eastAsiaTheme="minorHAnsi" w:hAnsiTheme="minorHAnsi" w:cs="Arial"/>
          <w:i/>
          <w:color w:val="1F497D" w:themeColor="text2"/>
          <w:sz w:val="22"/>
          <w:szCs w:val="22"/>
        </w:rPr>
        <w:t>4.</w:t>
      </w:r>
      <w:r w:rsidRPr="008C6884">
        <w:rPr>
          <w:rFonts w:asciiTheme="minorHAnsi" w:eastAsiaTheme="minorHAnsi" w:hAnsiTheme="minorHAnsi" w:cs="Arial"/>
          <w:i/>
          <w:color w:val="1F497D" w:themeColor="text2"/>
          <w:sz w:val="22"/>
          <w:szCs w:val="22"/>
        </w:rPr>
        <w:tab/>
        <w:t>That Council provide advice through the local media and councils newsletters as to the decision of Council on the special rate variation; and</w:t>
      </w:r>
    </w:p>
    <w:p w:rsidR="009B61BA" w:rsidRPr="008C6884" w:rsidRDefault="009B61BA" w:rsidP="009B61BA">
      <w:pPr>
        <w:ind w:left="360" w:hanging="360"/>
        <w:rPr>
          <w:rFonts w:asciiTheme="minorHAnsi" w:eastAsiaTheme="minorHAnsi" w:hAnsiTheme="minorHAnsi" w:cs="Arial"/>
          <w:i/>
          <w:color w:val="1F497D" w:themeColor="text2"/>
          <w:sz w:val="22"/>
          <w:szCs w:val="22"/>
        </w:rPr>
      </w:pPr>
      <w:r w:rsidRPr="008C6884">
        <w:rPr>
          <w:rFonts w:asciiTheme="minorHAnsi" w:eastAsiaTheme="minorHAnsi" w:hAnsiTheme="minorHAnsi" w:cs="Arial"/>
          <w:i/>
          <w:color w:val="1F497D" w:themeColor="text2"/>
          <w:sz w:val="22"/>
          <w:szCs w:val="22"/>
        </w:rPr>
        <w:t>5.</w:t>
      </w:r>
      <w:r w:rsidRPr="008C6884">
        <w:rPr>
          <w:rFonts w:asciiTheme="minorHAnsi" w:eastAsiaTheme="minorHAnsi" w:hAnsiTheme="minorHAnsi" w:cs="Arial"/>
          <w:i/>
          <w:color w:val="1F497D" w:themeColor="text2"/>
          <w:sz w:val="22"/>
          <w:szCs w:val="22"/>
        </w:rPr>
        <w:tab/>
        <w:t>That Council work with Village committees and NSW Farmers to consider, review and develop the future special rate variation from 2016/2017</w:t>
      </w:r>
    </w:p>
    <w:p w:rsidR="00B458A9" w:rsidRPr="008D7C80" w:rsidRDefault="00B458A9" w:rsidP="009B61BA">
      <w:pPr>
        <w:ind w:left="360" w:hanging="360"/>
        <w:rPr>
          <w:rFonts w:asciiTheme="minorHAnsi" w:hAnsiTheme="minorHAnsi"/>
          <w:color w:val="1F497D" w:themeColor="text2"/>
          <w:sz w:val="22"/>
          <w:szCs w:val="22"/>
        </w:rPr>
      </w:pPr>
    </w:p>
    <w:p w:rsidR="001E15EB" w:rsidRPr="00B17EC1" w:rsidRDefault="001E15EB" w:rsidP="009127DA">
      <w:pPr>
        <w:pStyle w:val="Heading1"/>
        <w:spacing w:before="0"/>
      </w:pPr>
      <w:bookmarkStart w:id="43" w:name="_Toc380956907"/>
      <w:r w:rsidRPr="00B17EC1">
        <w:lastRenderedPageBreak/>
        <w:t>Checklist of contents</w:t>
      </w:r>
      <w:bookmarkEnd w:id="43"/>
    </w:p>
    <w:p w:rsidR="00C60E17" w:rsidRDefault="006C5646" w:rsidP="00C60E17">
      <w:pPr>
        <w:pStyle w:val="BodyText"/>
      </w:pPr>
      <w:r>
        <w:t>The following is a checklist of the supporting documents to include with your Part B application:</w:t>
      </w:r>
    </w:p>
    <w:p w:rsidR="000431EA" w:rsidRDefault="000431EA" w:rsidP="00C60E17">
      <w:pPr>
        <w:pStyle w:val="BodyText"/>
      </w:pPr>
    </w:p>
    <w:p w:rsidR="00803F98" w:rsidRDefault="00803F98" w:rsidP="00C60E17">
      <w:pPr>
        <w:pStyle w:val="BodyText"/>
      </w:pPr>
    </w:p>
    <w:p w:rsidR="00803F98" w:rsidRPr="00B17EC1" w:rsidRDefault="00803F98" w:rsidP="00C60E17">
      <w:pPr>
        <w:pStyle w:val="BodyText"/>
      </w:pPr>
    </w:p>
    <w:tbl>
      <w:tblPr>
        <w:tblStyle w:val="TableGrid"/>
        <w:tblW w:w="0" w:type="auto"/>
        <w:tblLook w:val="01E0" w:firstRow="1" w:lastRow="1" w:firstColumn="1" w:lastColumn="1" w:noHBand="0" w:noVBand="0"/>
      </w:tblPr>
      <w:tblGrid>
        <w:gridCol w:w="6312"/>
        <w:gridCol w:w="1803"/>
      </w:tblGrid>
      <w:tr w:rsidR="001E15EB" w:rsidRPr="00B17EC1" w:rsidTr="00604C55">
        <w:tc>
          <w:tcPr>
            <w:tcW w:w="6312" w:type="dxa"/>
            <w:vAlign w:val="center"/>
          </w:tcPr>
          <w:p w:rsidR="001E15EB" w:rsidRPr="00B17EC1" w:rsidRDefault="001E15EB" w:rsidP="00604C55">
            <w:pPr>
              <w:pStyle w:val="BodyText"/>
              <w:spacing w:before="120" w:after="120"/>
              <w:jc w:val="left"/>
              <w:rPr>
                <w:rFonts w:ascii="MyriadPro-Regular" w:hAnsi="MyriadPro-Regular"/>
                <w:b/>
                <w:color w:val="000000"/>
                <w:sz w:val="28"/>
                <w:szCs w:val="28"/>
              </w:rPr>
            </w:pPr>
            <w:r w:rsidRPr="00B17EC1">
              <w:rPr>
                <w:rFonts w:ascii="MyriadPro-Regular" w:hAnsi="MyriadPro-Regular"/>
                <w:b/>
                <w:color w:val="000000"/>
                <w:sz w:val="28"/>
                <w:szCs w:val="28"/>
              </w:rPr>
              <w:t>Item</w:t>
            </w:r>
          </w:p>
        </w:tc>
        <w:tc>
          <w:tcPr>
            <w:tcW w:w="1803" w:type="dxa"/>
            <w:vAlign w:val="center"/>
          </w:tcPr>
          <w:p w:rsidR="001E15EB" w:rsidRPr="00B17EC1" w:rsidRDefault="00C60E17" w:rsidP="00604C55">
            <w:pPr>
              <w:pStyle w:val="BodyText"/>
              <w:spacing w:before="120" w:after="120"/>
              <w:jc w:val="center"/>
              <w:rPr>
                <w:rFonts w:ascii="MyriadPro-Regular" w:hAnsi="MyriadPro-Regular"/>
                <w:b/>
                <w:color w:val="000000"/>
                <w:sz w:val="28"/>
                <w:szCs w:val="28"/>
              </w:rPr>
            </w:pPr>
            <w:r w:rsidRPr="00B17EC1">
              <w:rPr>
                <w:rFonts w:ascii="MyriadPro-Regular" w:hAnsi="MyriadPro-Regular"/>
                <w:b/>
                <w:color w:val="000000"/>
                <w:sz w:val="28"/>
                <w:szCs w:val="28"/>
              </w:rPr>
              <w:t>Included?</w:t>
            </w:r>
          </w:p>
        </w:tc>
      </w:tr>
      <w:tr w:rsidR="001E15EB" w:rsidRPr="00B17EC1" w:rsidTr="00604C55">
        <w:tc>
          <w:tcPr>
            <w:tcW w:w="6312" w:type="dxa"/>
            <w:vAlign w:val="center"/>
          </w:tcPr>
          <w:p w:rsidR="00840BCF" w:rsidRPr="00B17EC1" w:rsidRDefault="00086785" w:rsidP="006C5646">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 xml:space="preserve">Community </w:t>
            </w:r>
            <w:r w:rsidR="00E708D9" w:rsidRPr="00B17EC1">
              <w:rPr>
                <w:rFonts w:ascii="MyriadPro-Regular" w:hAnsi="MyriadPro-Regular"/>
                <w:color w:val="000000"/>
                <w:sz w:val="24"/>
                <w:szCs w:val="24"/>
              </w:rPr>
              <w:t>Strateg</w:t>
            </w:r>
            <w:r w:rsidR="00682DC0">
              <w:rPr>
                <w:rFonts w:ascii="MyriadPro-Regular" w:hAnsi="MyriadPro-Regular"/>
                <w:color w:val="000000"/>
                <w:sz w:val="24"/>
                <w:szCs w:val="24"/>
              </w:rPr>
              <w:t>ic</w:t>
            </w:r>
            <w:r w:rsidR="00E708D9" w:rsidRPr="00B17EC1">
              <w:rPr>
                <w:rFonts w:ascii="MyriadPro-Regular" w:hAnsi="MyriadPro-Regular"/>
                <w:color w:val="000000"/>
                <w:sz w:val="24"/>
                <w:szCs w:val="24"/>
              </w:rPr>
              <w:t xml:space="preserve"> Plan</w:t>
            </w:r>
          </w:p>
        </w:tc>
        <w:tc>
          <w:tcPr>
            <w:tcW w:w="1803" w:type="dxa"/>
            <w:vAlign w:val="center"/>
          </w:tcPr>
          <w:p w:rsidR="001E15EB" w:rsidRPr="00B17EC1" w:rsidRDefault="00F15DA3"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4"/>
                  <w:enabled/>
                  <w:calcOnExit w:val="0"/>
                  <w:checkBox>
                    <w:sizeAuto/>
                    <w:default w:val="1"/>
                  </w:checkBox>
                </w:ffData>
              </w:fldChar>
            </w:r>
            <w:bookmarkStart w:id="44" w:name="Check14"/>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bookmarkEnd w:id="44"/>
          </w:p>
        </w:tc>
      </w:tr>
      <w:tr w:rsidR="00E815A0" w:rsidRPr="00B17EC1" w:rsidTr="00604C55">
        <w:tc>
          <w:tcPr>
            <w:tcW w:w="6312" w:type="dxa"/>
            <w:vAlign w:val="center"/>
          </w:tcPr>
          <w:p w:rsidR="00E815A0" w:rsidRPr="00B17EC1" w:rsidRDefault="00E815A0" w:rsidP="0008678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Delivery Program</w:t>
            </w:r>
          </w:p>
        </w:tc>
        <w:tc>
          <w:tcPr>
            <w:tcW w:w="1803" w:type="dxa"/>
            <w:vAlign w:val="center"/>
          </w:tcPr>
          <w:p w:rsidR="00E815A0" w:rsidRPr="00B17EC1" w:rsidRDefault="0047788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p>
        </w:tc>
      </w:tr>
      <w:tr w:rsidR="001E15EB" w:rsidRPr="00B17EC1" w:rsidTr="00604C55">
        <w:tc>
          <w:tcPr>
            <w:tcW w:w="6312" w:type="dxa"/>
            <w:vAlign w:val="center"/>
          </w:tcPr>
          <w:p w:rsidR="008C6983" w:rsidRPr="00B17EC1" w:rsidRDefault="00E708D9"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Long Term Financial Plan</w:t>
            </w:r>
          </w:p>
        </w:tc>
        <w:tc>
          <w:tcPr>
            <w:tcW w:w="1803" w:type="dxa"/>
            <w:vAlign w:val="center"/>
          </w:tcPr>
          <w:p w:rsidR="001E15EB" w:rsidRPr="00B17EC1" w:rsidRDefault="0047788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5"/>
                  <w:enabled/>
                  <w:calcOnExit w:val="0"/>
                  <w:checkBox>
                    <w:sizeAuto/>
                    <w:default w:val="1"/>
                  </w:checkBox>
                </w:ffData>
              </w:fldChar>
            </w:r>
            <w:bookmarkStart w:id="45" w:name="Check15"/>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45"/>
          </w:p>
        </w:tc>
      </w:tr>
      <w:tr w:rsidR="001E15EB" w:rsidRPr="00B17EC1" w:rsidTr="00604C55">
        <w:tc>
          <w:tcPr>
            <w:tcW w:w="6312" w:type="dxa"/>
            <w:vAlign w:val="center"/>
          </w:tcPr>
          <w:p w:rsidR="001E15EB" w:rsidRPr="00B17EC1" w:rsidRDefault="00E708D9" w:rsidP="006C5646">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Asset Management Plan</w:t>
            </w:r>
            <w:r w:rsidR="00F15DA3">
              <w:rPr>
                <w:rFonts w:ascii="MyriadPro-Regular" w:hAnsi="MyriadPro-Regular"/>
                <w:color w:val="000000"/>
                <w:sz w:val="24"/>
                <w:szCs w:val="24"/>
              </w:rPr>
              <w:t>s</w:t>
            </w:r>
            <w:r w:rsidRPr="00B17EC1">
              <w:rPr>
                <w:rFonts w:ascii="MyriadPro-Regular" w:hAnsi="MyriadPro-Regular"/>
                <w:color w:val="000000"/>
                <w:sz w:val="24"/>
                <w:szCs w:val="24"/>
              </w:rPr>
              <w:t xml:space="preserve"> </w:t>
            </w:r>
          </w:p>
        </w:tc>
        <w:tc>
          <w:tcPr>
            <w:tcW w:w="1803" w:type="dxa"/>
            <w:vAlign w:val="center"/>
          </w:tcPr>
          <w:p w:rsidR="001E15EB" w:rsidRPr="00B17EC1" w:rsidRDefault="00F15DA3"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6"/>
                  <w:enabled/>
                  <w:calcOnExit w:val="0"/>
                  <w:checkBox>
                    <w:sizeAuto/>
                    <w:default w:val="1"/>
                  </w:checkBox>
                </w:ffData>
              </w:fldChar>
            </w:r>
            <w:bookmarkStart w:id="46" w:name="Check16"/>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bookmarkEnd w:id="46"/>
          </w:p>
        </w:tc>
      </w:tr>
      <w:tr w:rsidR="008F026A" w:rsidRPr="00B17EC1" w:rsidTr="00690D29">
        <w:tc>
          <w:tcPr>
            <w:tcW w:w="6312" w:type="dxa"/>
            <w:vAlign w:val="center"/>
          </w:tcPr>
          <w:p w:rsidR="008F026A" w:rsidRDefault="008F026A" w:rsidP="00690D29">
            <w:pPr>
              <w:pStyle w:val="BodyText"/>
              <w:spacing w:before="120" w:after="120"/>
              <w:jc w:val="left"/>
              <w:rPr>
                <w:rFonts w:ascii="MyriadPro-Regular" w:hAnsi="MyriadPro-Regular"/>
                <w:color w:val="000000"/>
                <w:sz w:val="24"/>
                <w:szCs w:val="24"/>
              </w:rPr>
            </w:pPr>
            <w:proofErr w:type="spellStart"/>
            <w:r>
              <w:rPr>
                <w:rFonts w:ascii="MyriadPro-Regular" w:hAnsi="MyriadPro-Regular"/>
                <w:color w:val="000000"/>
                <w:sz w:val="24"/>
                <w:szCs w:val="24"/>
              </w:rPr>
              <w:t>TCorp</w:t>
            </w:r>
            <w:proofErr w:type="spellEnd"/>
            <w:r>
              <w:rPr>
                <w:rFonts w:ascii="MyriadPro-Regular" w:hAnsi="MyriadPro-Regular"/>
                <w:color w:val="000000"/>
                <w:sz w:val="24"/>
                <w:szCs w:val="24"/>
              </w:rPr>
              <w:t xml:space="preserve"> report on financial sustainability</w:t>
            </w:r>
          </w:p>
        </w:tc>
        <w:tc>
          <w:tcPr>
            <w:tcW w:w="1803" w:type="dxa"/>
            <w:vAlign w:val="center"/>
          </w:tcPr>
          <w:p w:rsidR="008F026A" w:rsidRPr="00B17EC1" w:rsidRDefault="00477880" w:rsidP="00690D29">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p>
        </w:tc>
      </w:tr>
      <w:tr w:rsidR="00A725B7" w:rsidRPr="00B17EC1" w:rsidTr="00604C55">
        <w:tc>
          <w:tcPr>
            <w:tcW w:w="6312" w:type="dxa"/>
            <w:vAlign w:val="center"/>
          </w:tcPr>
          <w:p w:rsidR="00A725B7" w:rsidRPr="00B17EC1" w:rsidRDefault="00A725B7" w:rsidP="00A725B7">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Contributions Plan documents (if applicable)</w:t>
            </w:r>
          </w:p>
        </w:tc>
        <w:tc>
          <w:tcPr>
            <w:tcW w:w="1803" w:type="dxa"/>
            <w:vAlign w:val="center"/>
          </w:tcPr>
          <w:p w:rsidR="00A725B7" w:rsidRPr="00B17EC1" w:rsidRDefault="00F15DA3" w:rsidP="00A725B7">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3"/>
                  <w:enabled/>
                  <w:calcOnExit w:val="0"/>
                  <w:checkBox>
                    <w:sizeAuto/>
                    <w:default w:val="0"/>
                  </w:checkBox>
                </w:ffData>
              </w:fldChar>
            </w:r>
            <w:bookmarkStart w:id="47" w:name="Check13"/>
            <w:r>
              <w:rPr>
                <w:rFonts w:ascii="MyriadPro-Regular" w:hAnsi="MyriadPro-Regular"/>
                <w:color w:val="000000"/>
                <w:sz w:val="24"/>
                <w:szCs w:val="24"/>
              </w:rPr>
              <w:instrText xml:space="preserve"> FORMCHECKBOX </w:instrText>
            </w:r>
            <w:r>
              <w:rPr>
                <w:rFonts w:ascii="MyriadPro-Regular" w:hAnsi="MyriadPro-Regular"/>
                <w:color w:val="000000"/>
                <w:sz w:val="24"/>
                <w:szCs w:val="24"/>
              </w:rPr>
            </w:r>
            <w:r>
              <w:rPr>
                <w:rFonts w:ascii="MyriadPro-Regular" w:hAnsi="MyriadPro-Regular"/>
                <w:color w:val="000000"/>
                <w:sz w:val="24"/>
                <w:szCs w:val="24"/>
              </w:rPr>
              <w:fldChar w:fldCharType="end"/>
            </w:r>
            <w:bookmarkEnd w:id="47"/>
          </w:p>
        </w:tc>
      </w:tr>
      <w:tr w:rsidR="00E815A0" w:rsidRPr="00B17EC1" w:rsidTr="00604C55">
        <w:tc>
          <w:tcPr>
            <w:tcW w:w="6312" w:type="dxa"/>
            <w:vAlign w:val="center"/>
          </w:tcPr>
          <w:p w:rsidR="00E815A0" w:rsidRPr="00B17EC1" w:rsidRDefault="00E815A0" w:rsidP="000F30C1">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Media releases, public meeting notices, newspaper articles</w:t>
            </w:r>
            <w:r w:rsidR="003B0E60">
              <w:rPr>
                <w:rFonts w:ascii="MyriadPro-Regular" w:hAnsi="MyriadPro-Regular"/>
                <w:color w:val="000000"/>
                <w:sz w:val="24"/>
                <w:szCs w:val="24"/>
              </w:rPr>
              <w:t>, fact sheets</w:t>
            </w:r>
            <w:r>
              <w:rPr>
                <w:rFonts w:ascii="MyriadPro-Regular" w:hAnsi="MyriadPro-Regular"/>
                <w:color w:val="000000"/>
                <w:sz w:val="24"/>
                <w:szCs w:val="24"/>
              </w:rPr>
              <w:t xml:space="preserve"> relating to the </w:t>
            </w:r>
            <w:r w:rsidR="003B0E60">
              <w:rPr>
                <w:rFonts w:ascii="MyriadPro-Regular" w:hAnsi="MyriadPro-Regular"/>
                <w:color w:val="000000"/>
                <w:sz w:val="24"/>
                <w:szCs w:val="24"/>
              </w:rPr>
              <w:t xml:space="preserve">rate increase and </w:t>
            </w:r>
            <w:r>
              <w:rPr>
                <w:rFonts w:ascii="MyriadPro-Regular" w:hAnsi="MyriadPro-Regular"/>
                <w:color w:val="000000"/>
                <w:sz w:val="24"/>
                <w:szCs w:val="24"/>
              </w:rPr>
              <w:t>special variation</w:t>
            </w:r>
          </w:p>
        </w:tc>
        <w:tc>
          <w:tcPr>
            <w:tcW w:w="1803" w:type="dxa"/>
            <w:vAlign w:val="center"/>
          </w:tcPr>
          <w:p w:rsidR="00E815A0" w:rsidRPr="00B17EC1" w:rsidRDefault="00477880" w:rsidP="00A725B7">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p>
        </w:tc>
      </w:tr>
      <w:tr w:rsidR="00A725B7" w:rsidRPr="00B17EC1" w:rsidTr="00604C55">
        <w:tc>
          <w:tcPr>
            <w:tcW w:w="6312" w:type="dxa"/>
            <w:vAlign w:val="center"/>
          </w:tcPr>
          <w:p w:rsidR="00A725B7" w:rsidRPr="00B17EC1" w:rsidRDefault="00A725B7" w:rsidP="00A725B7">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Community feedback</w:t>
            </w:r>
            <w:r>
              <w:rPr>
                <w:rFonts w:ascii="MyriadPro-Regular" w:hAnsi="MyriadPro-Regular"/>
                <w:color w:val="000000"/>
                <w:sz w:val="24"/>
                <w:szCs w:val="24"/>
              </w:rPr>
              <w:t xml:space="preserve"> (including surveys and results if applicable)</w:t>
            </w:r>
          </w:p>
        </w:tc>
        <w:tc>
          <w:tcPr>
            <w:tcW w:w="1803" w:type="dxa"/>
            <w:vAlign w:val="center"/>
          </w:tcPr>
          <w:p w:rsidR="00A725B7" w:rsidRPr="00B17EC1" w:rsidRDefault="00477880" w:rsidP="00A725B7">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0"/>
                  <w:enabled/>
                  <w:calcOnExit w:val="0"/>
                  <w:checkBox>
                    <w:sizeAuto/>
                    <w:default w:val="1"/>
                  </w:checkBox>
                </w:ffData>
              </w:fldChar>
            </w:r>
            <w:bookmarkStart w:id="48" w:name="Check10"/>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48"/>
          </w:p>
        </w:tc>
      </w:tr>
      <w:tr w:rsidR="00A725B7" w:rsidRPr="00B17EC1" w:rsidTr="00604C55">
        <w:tc>
          <w:tcPr>
            <w:tcW w:w="6312" w:type="dxa"/>
            <w:vAlign w:val="center"/>
          </w:tcPr>
          <w:p w:rsidR="00A725B7" w:rsidRPr="00B17EC1" w:rsidRDefault="00A725B7"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 xml:space="preserve">Hardship </w:t>
            </w:r>
            <w:r>
              <w:rPr>
                <w:rFonts w:ascii="MyriadPro-Regular" w:hAnsi="MyriadPro-Regular"/>
                <w:color w:val="000000"/>
                <w:sz w:val="24"/>
                <w:szCs w:val="24"/>
              </w:rPr>
              <w:t>P</w:t>
            </w:r>
            <w:r w:rsidRPr="00B17EC1">
              <w:rPr>
                <w:rFonts w:ascii="MyriadPro-Regular" w:hAnsi="MyriadPro-Regular"/>
                <w:color w:val="000000"/>
                <w:sz w:val="24"/>
                <w:szCs w:val="24"/>
              </w:rPr>
              <w:t>olicy</w:t>
            </w:r>
          </w:p>
        </w:tc>
        <w:tc>
          <w:tcPr>
            <w:tcW w:w="1803" w:type="dxa"/>
            <w:vAlign w:val="center"/>
          </w:tcPr>
          <w:p w:rsidR="00A725B7" w:rsidRPr="00B17EC1" w:rsidRDefault="0047788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2"/>
                  <w:enabled/>
                  <w:calcOnExit w:val="0"/>
                  <w:checkBox>
                    <w:sizeAuto/>
                    <w:default w:val="1"/>
                  </w:checkBox>
                </w:ffData>
              </w:fldChar>
            </w:r>
            <w:bookmarkStart w:id="49" w:name="Check12"/>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49"/>
          </w:p>
        </w:tc>
      </w:tr>
      <w:tr w:rsidR="005366F0" w:rsidRPr="00B17EC1" w:rsidTr="00604C55">
        <w:tc>
          <w:tcPr>
            <w:tcW w:w="6312" w:type="dxa"/>
            <w:vAlign w:val="center"/>
          </w:tcPr>
          <w:p w:rsidR="005366F0" w:rsidRDefault="005366F0" w:rsidP="00604C5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Past Instruments of Approval (if applicable)</w:t>
            </w:r>
          </w:p>
        </w:tc>
        <w:tc>
          <w:tcPr>
            <w:tcW w:w="1803" w:type="dxa"/>
            <w:vAlign w:val="center"/>
          </w:tcPr>
          <w:p w:rsidR="005366F0" w:rsidRPr="00B17EC1" w:rsidRDefault="0047788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p>
        </w:tc>
      </w:tr>
      <w:tr w:rsidR="00A725B7" w:rsidRPr="00B17EC1" w:rsidTr="00604C55">
        <w:tc>
          <w:tcPr>
            <w:tcW w:w="6312" w:type="dxa"/>
            <w:vAlign w:val="center"/>
          </w:tcPr>
          <w:p w:rsidR="00A725B7" w:rsidRPr="00B17EC1" w:rsidRDefault="00A725B7"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Resolution to apply for the special variation</w:t>
            </w:r>
          </w:p>
        </w:tc>
        <w:tc>
          <w:tcPr>
            <w:tcW w:w="1803" w:type="dxa"/>
            <w:vAlign w:val="center"/>
          </w:tcPr>
          <w:p w:rsidR="00A725B7" w:rsidRPr="00B17EC1" w:rsidRDefault="0047788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8"/>
                  <w:enabled/>
                  <w:calcOnExit w:val="0"/>
                  <w:checkBox>
                    <w:sizeAuto/>
                    <w:default w:val="1"/>
                  </w:checkBox>
                </w:ffData>
              </w:fldChar>
            </w:r>
            <w:bookmarkStart w:id="50" w:name="Check8"/>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50"/>
          </w:p>
        </w:tc>
      </w:tr>
      <w:tr w:rsidR="003B4435" w:rsidRPr="00B17EC1" w:rsidTr="00604C55">
        <w:tc>
          <w:tcPr>
            <w:tcW w:w="6312" w:type="dxa"/>
            <w:vAlign w:val="center"/>
          </w:tcPr>
          <w:p w:rsidR="003B4435" w:rsidRPr="00B17EC1" w:rsidRDefault="00E815A0" w:rsidP="00604C5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Resolution to adopt the Delivery Program</w:t>
            </w:r>
          </w:p>
        </w:tc>
        <w:tc>
          <w:tcPr>
            <w:tcW w:w="1803" w:type="dxa"/>
            <w:vAlign w:val="center"/>
          </w:tcPr>
          <w:p w:rsidR="003B4435" w:rsidRPr="00B17EC1" w:rsidRDefault="0047788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B36A1">
              <w:rPr>
                <w:rFonts w:ascii="MyriadPro-Regular" w:hAnsi="MyriadPro-Regular"/>
                <w:color w:val="000000"/>
                <w:sz w:val="24"/>
                <w:szCs w:val="24"/>
              </w:rPr>
            </w:r>
            <w:r w:rsidR="004B36A1">
              <w:rPr>
                <w:rFonts w:ascii="MyriadPro-Regular" w:hAnsi="MyriadPro-Regular"/>
                <w:color w:val="000000"/>
                <w:sz w:val="24"/>
                <w:szCs w:val="24"/>
              </w:rPr>
              <w:fldChar w:fldCharType="separate"/>
            </w:r>
            <w:r>
              <w:rPr>
                <w:rFonts w:ascii="MyriadPro-Regular" w:hAnsi="MyriadPro-Regular"/>
                <w:color w:val="000000"/>
                <w:sz w:val="24"/>
                <w:szCs w:val="24"/>
              </w:rPr>
              <w:fldChar w:fldCharType="end"/>
            </w:r>
          </w:p>
        </w:tc>
      </w:tr>
    </w:tbl>
    <w:p w:rsidR="00166D38" w:rsidRPr="00B17EC1" w:rsidRDefault="00604C55" w:rsidP="00597ABB">
      <w:pPr>
        <w:pStyle w:val="Heading1"/>
      </w:pPr>
      <w:r w:rsidRPr="00B17EC1">
        <w:br w:type="page"/>
      </w:r>
      <w:bookmarkStart w:id="51" w:name="_Toc380956908"/>
      <w:r w:rsidR="001E15EB" w:rsidRPr="00B17EC1">
        <w:lastRenderedPageBreak/>
        <w:t>Certification</w:t>
      </w:r>
      <w:bookmarkEnd w:id="51"/>
    </w:p>
    <w:p w:rsidR="00525B8C" w:rsidRPr="00295E6F" w:rsidRDefault="00525B8C" w:rsidP="00525B8C">
      <w:pPr>
        <w:pStyle w:val="BodyText"/>
        <w:rPr>
          <w:b/>
        </w:rPr>
      </w:pPr>
      <w:r w:rsidRPr="001710FF">
        <w:rPr>
          <w:b/>
        </w:rPr>
        <w:t>APPLICATION FOR A SPECIAL RATE VARIATION</w:t>
      </w:r>
      <w:r w:rsidRPr="00295E6F">
        <w:rPr>
          <w:b/>
        </w:rPr>
        <w:t xml:space="preserve"> </w:t>
      </w:r>
    </w:p>
    <w:p w:rsidR="008F026A" w:rsidRPr="008F026A" w:rsidRDefault="008F026A" w:rsidP="00166D38">
      <w:pPr>
        <w:pStyle w:val="BodyText"/>
        <w:rPr>
          <w:b/>
        </w:rPr>
      </w:pPr>
      <w:r w:rsidRPr="008F026A">
        <w:rPr>
          <w:b/>
        </w:rPr>
        <w:t>To be completed by General Manager and Responsible Accounting Officer</w:t>
      </w:r>
    </w:p>
    <w:p w:rsidR="00385582" w:rsidRPr="00B17EC1" w:rsidRDefault="00385582" w:rsidP="00385582">
      <w:pPr>
        <w:pStyle w:val="BodyText"/>
      </w:pPr>
      <w:r>
        <w:t xml:space="preserve">Name of council: </w:t>
      </w:r>
      <w:r w:rsidR="00477880">
        <w:rPr>
          <w:rFonts w:asciiTheme="minorHAnsi" w:hAnsiTheme="minorHAnsi"/>
          <w:color w:val="1F497D" w:themeColor="text2"/>
          <w:sz w:val="22"/>
          <w:szCs w:val="22"/>
        </w:rPr>
        <w:t>Blayney Shire Council</w:t>
      </w:r>
    </w:p>
    <w:p w:rsidR="00385582" w:rsidRDefault="00385582" w:rsidP="00166D38">
      <w:pPr>
        <w:pStyle w:val="BodyText"/>
      </w:pPr>
    </w:p>
    <w:p w:rsidR="00166D38" w:rsidRPr="00B17EC1" w:rsidRDefault="00385582" w:rsidP="00166D38">
      <w:pPr>
        <w:pStyle w:val="BodyText"/>
      </w:pPr>
      <w:r>
        <w:t>We</w:t>
      </w:r>
      <w:r w:rsidR="00166D38" w:rsidRPr="00B17EC1">
        <w:t xml:space="preserve"> certify that to the best of </w:t>
      </w:r>
      <w:r>
        <w:t>our</w:t>
      </w:r>
      <w:r w:rsidR="00166D38" w:rsidRPr="00B17EC1">
        <w:t xml:space="preserve"> knowledge the information provided in this application is correct and complete.</w:t>
      </w:r>
    </w:p>
    <w:p w:rsidR="00166D38" w:rsidRPr="00B17EC1" w:rsidRDefault="00166D38" w:rsidP="007838BA">
      <w:pPr>
        <w:pStyle w:val="BodyText"/>
        <w:jc w:val="left"/>
      </w:pPr>
    </w:p>
    <w:p w:rsidR="00166D38" w:rsidRPr="00B17EC1" w:rsidRDefault="00166D38" w:rsidP="00166D38">
      <w:pPr>
        <w:pStyle w:val="BodyText"/>
      </w:pPr>
    </w:p>
    <w:p w:rsidR="00166D38" w:rsidRDefault="00166D38" w:rsidP="00166D38">
      <w:pPr>
        <w:pStyle w:val="BodyText"/>
      </w:pPr>
    </w:p>
    <w:p w:rsidR="008F026A" w:rsidRPr="00B17EC1" w:rsidRDefault="008F026A" w:rsidP="00166D38">
      <w:pPr>
        <w:pStyle w:val="BodyText"/>
      </w:pPr>
    </w:p>
    <w:p w:rsidR="007838BA" w:rsidRPr="00B17EC1" w:rsidRDefault="00166D38" w:rsidP="00166D38">
      <w:pPr>
        <w:pStyle w:val="BodyText"/>
      </w:pPr>
      <w:r w:rsidRPr="00B17EC1">
        <w:t xml:space="preserve">General </w:t>
      </w:r>
      <w:r w:rsidR="00633BF9" w:rsidRPr="00B17EC1">
        <w:t>M</w:t>
      </w:r>
      <w:r w:rsidRPr="00B17EC1">
        <w:t>anager</w:t>
      </w:r>
      <w:r w:rsidR="007838BA" w:rsidRPr="00B17EC1">
        <w:t xml:space="preserve"> (name): </w:t>
      </w:r>
      <w:r w:rsidR="007838BA" w:rsidRPr="00B17EC1">
        <w:fldChar w:fldCharType="begin">
          <w:ffData>
            <w:name w:val="Text24"/>
            <w:enabled/>
            <w:calcOnExit w:val="0"/>
            <w:textInput/>
          </w:ffData>
        </w:fldChar>
      </w:r>
      <w:bookmarkStart w:id="52" w:name="Text24"/>
      <w:r w:rsidR="007838BA" w:rsidRPr="00B17EC1">
        <w:instrText xml:space="preserve"> FORMTEXT </w:instrText>
      </w:r>
      <w:r w:rsidR="007838BA" w:rsidRPr="00B17EC1">
        <w:fldChar w:fldCharType="separate"/>
      </w:r>
      <w:r w:rsidR="00477880">
        <w:rPr>
          <w:rFonts w:asciiTheme="minorHAnsi" w:hAnsiTheme="minorHAnsi"/>
          <w:color w:val="1F497D" w:themeColor="text2"/>
          <w:sz w:val="22"/>
          <w:szCs w:val="22"/>
        </w:rPr>
        <w:t>Glenn Wilcox</w:t>
      </w:r>
      <w:r w:rsidR="007838BA" w:rsidRPr="00B17EC1">
        <w:fldChar w:fldCharType="end"/>
      </w:r>
      <w:bookmarkEnd w:id="52"/>
    </w:p>
    <w:p w:rsidR="00166D38" w:rsidRDefault="00166D38" w:rsidP="00166D38">
      <w:pPr>
        <w:pStyle w:val="BodyText"/>
      </w:pPr>
      <w:r w:rsidRPr="00B17EC1">
        <w:t xml:space="preserve">Signature </w:t>
      </w:r>
      <w:r w:rsidR="006D1BCD">
        <w:t xml:space="preserve">and </w:t>
      </w:r>
      <w:r w:rsidRPr="00B17EC1">
        <w:t>Date</w:t>
      </w:r>
      <w:r w:rsidR="00633BF9" w:rsidRPr="00B17EC1">
        <w:t xml:space="preserve">: </w:t>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rsidRPr="00477880">
        <w:rPr>
          <w:rFonts w:asciiTheme="minorHAnsi" w:hAnsiTheme="minorHAnsi"/>
          <w:color w:val="1F497D" w:themeColor="text2"/>
          <w:sz w:val="22"/>
          <w:szCs w:val="22"/>
        </w:rPr>
        <w:t>21/02/2014</w:t>
      </w:r>
    </w:p>
    <w:p w:rsidR="008F026A" w:rsidRDefault="008F026A" w:rsidP="00166D38">
      <w:pPr>
        <w:pStyle w:val="BodyText"/>
      </w:pPr>
    </w:p>
    <w:p w:rsidR="008F026A" w:rsidRPr="00B17EC1" w:rsidRDefault="008F026A" w:rsidP="00166D38">
      <w:pPr>
        <w:pStyle w:val="BodyText"/>
      </w:pPr>
    </w:p>
    <w:p w:rsidR="00166D38" w:rsidRPr="00B17EC1" w:rsidRDefault="00166D38" w:rsidP="00166D38">
      <w:pPr>
        <w:pStyle w:val="BodyText"/>
      </w:pPr>
      <w:r w:rsidRPr="00B17EC1">
        <w:t>Responsible Accoun</w:t>
      </w:r>
      <w:r w:rsidR="007838BA" w:rsidRPr="00B17EC1">
        <w:t>ting Officer</w:t>
      </w:r>
      <w:r w:rsidR="001E543C" w:rsidRPr="00B17EC1">
        <w:t xml:space="preserve"> </w:t>
      </w:r>
      <w:r w:rsidR="007838BA" w:rsidRPr="00B17EC1">
        <w:t>(name):</w:t>
      </w:r>
      <w:r w:rsidR="00477880">
        <w:t xml:space="preserve"> </w:t>
      </w:r>
      <w:r w:rsidR="00477880" w:rsidRPr="00477880">
        <w:rPr>
          <w:rFonts w:asciiTheme="minorHAnsi" w:hAnsiTheme="minorHAnsi"/>
          <w:color w:val="1F497D" w:themeColor="text2"/>
          <w:sz w:val="22"/>
          <w:szCs w:val="22"/>
        </w:rPr>
        <w:t>Chris Hodge</w:t>
      </w:r>
    </w:p>
    <w:p w:rsidR="00477880" w:rsidRDefault="00166D38" w:rsidP="00477880">
      <w:pPr>
        <w:pStyle w:val="BodyText"/>
      </w:pPr>
      <w:r w:rsidRPr="00B17EC1">
        <w:t xml:space="preserve">Signature </w:t>
      </w:r>
      <w:r w:rsidR="006D1BCD">
        <w:t xml:space="preserve">and </w:t>
      </w:r>
      <w:r w:rsidRPr="00B17EC1">
        <w:t>Date</w:t>
      </w:r>
      <w:r w:rsidR="00633BF9" w:rsidRPr="00B17EC1">
        <w:t>:</w:t>
      </w:r>
      <w:r w:rsidR="007838BA" w:rsidRPr="00B17EC1">
        <w:t xml:space="preserve"> </w:t>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tab/>
      </w:r>
      <w:r w:rsidR="00477880" w:rsidRPr="00477880">
        <w:rPr>
          <w:rFonts w:asciiTheme="minorHAnsi" w:hAnsiTheme="minorHAnsi"/>
          <w:color w:val="1F497D" w:themeColor="text2"/>
          <w:sz w:val="22"/>
          <w:szCs w:val="22"/>
        </w:rPr>
        <w:t>21/02/2014</w:t>
      </w:r>
    </w:p>
    <w:p w:rsidR="00166D38" w:rsidRDefault="00166D38" w:rsidP="00166D38">
      <w:pPr>
        <w:pStyle w:val="BodyText"/>
      </w:pPr>
    </w:p>
    <w:p w:rsidR="008F4821" w:rsidRPr="00B17EC1" w:rsidRDefault="008F4821" w:rsidP="00166D38">
      <w:pPr>
        <w:pStyle w:val="BodyText"/>
      </w:pPr>
    </w:p>
    <w:p w:rsidR="00385582" w:rsidRDefault="00385582" w:rsidP="00385582">
      <w:pPr>
        <w:pStyle w:val="BodyText"/>
      </w:pPr>
      <w:r w:rsidRPr="00295E6F">
        <w:t>Once completed,</w:t>
      </w:r>
      <w:r>
        <w:t xml:space="preserve"> please scan the signed certification and attach it to the Part B form before submitting your application online via the Council Portal on our website.</w:t>
      </w:r>
    </w:p>
    <w:p w:rsidR="00166D38" w:rsidRPr="00166D38" w:rsidRDefault="00166D38" w:rsidP="00385582">
      <w:pPr>
        <w:pStyle w:val="BodyText"/>
      </w:pPr>
    </w:p>
    <w:sectPr w:rsidR="00166D38" w:rsidRPr="00166D38" w:rsidSect="00B8558E">
      <w:pgSz w:w="11907" w:h="16840" w:code="9"/>
      <w:pgMar w:top="1440" w:right="1440" w:bottom="1440" w:left="1440" w:header="1134" w:footer="28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A1" w:rsidRDefault="004B36A1" w:rsidP="00856DDC">
      <w:r>
        <w:separator/>
      </w:r>
    </w:p>
    <w:p w:rsidR="004B36A1" w:rsidRDefault="004B36A1"/>
  </w:endnote>
  <w:endnote w:type="continuationSeparator" w:id="0">
    <w:p w:rsidR="004B36A1" w:rsidRDefault="004B36A1" w:rsidP="00856DDC">
      <w:r>
        <w:continuationSeparator/>
      </w:r>
    </w:p>
    <w:p w:rsidR="004B36A1" w:rsidRDefault="004B3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4B36A1">
      <w:trPr>
        <w:cantSplit/>
      </w:trPr>
      <w:tc>
        <w:tcPr>
          <w:tcW w:w="567" w:type="dxa"/>
          <w:vAlign w:val="bottom"/>
        </w:tcPr>
        <w:p w:rsidR="004B36A1" w:rsidRDefault="004B36A1"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142" w:type="dxa"/>
          <w:tcBorders>
            <w:right w:val="single" w:sz="8" w:space="0" w:color="7C7C7C"/>
          </w:tcBorders>
          <w:vAlign w:val="bottom"/>
        </w:tcPr>
        <w:p w:rsidR="004B36A1" w:rsidRDefault="004B36A1" w:rsidP="00321AF3">
          <w:pPr>
            <w:pStyle w:val="Footer"/>
          </w:pPr>
        </w:p>
      </w:tc>
      <w:tc>
        <w:tcPr>
          <w:tcW w:w="142" w:type="dxa"/>
          <w:tcBorders>
            <w:left w:val="single" w:sz="8" w:space="0" w:color="7C7C7C"/>
          </w:tcBorders>
          <w:vAlign w:val="bottom"/>
        </w:tcPr>
        <w:p w:rsidR="004B36A1" w:rsidRDefault="004B36A1" w:rsidP="00321AF3">
          <w:pPr>
            <w:pStyle w:val="Footer"/>
          </w:pPr>
        </w:p>
      </w:tc>
      <w:tc>
        <w:tcPr>
          <w:tcW w:w="7938" w:type="dxa"/>
          <w:vAlign w:val="bottom"/>
        </w:tcPr>
        <w:p w:rsidR="004B36A1" w:rsidRDefault="004B36A1" w:rsidP="00321AF3">
          <w:pPr>
            <w:pStyle w:val="Footer"/>
          </w:pPr>
          <w:r w:rsidRPr="00D661A7">
            <w:rPr>
              <w:b/>
            </w:rPr>
            <w:t>IPART</w:t>
          </w:r>
          <w:r w:rsidRPr="00CF179E">
            <w:rPr>
              <w:rFonts w:ascii="Arial" w:eastAsia="Arial Unicode MS" w:hAnsi="Arial Unicode MS" w:cs="Arial"/>
            </w:rPr>
            <w:t> </w:t>
          </w:r>
          <w:fldSimple w:instr=" STYLEREF  Title ">
            <w:r w:rsidR="004235D0">
              <w:rPr>
                <w:noProof/>
              </w:rPr>
              <w:t>Special Variation Application Form – Part B</w:t>
            </w:r>
          </w:fldSimple>
        </w:p>
      </w:tc>
    </w:tr>
  </w:tbl>
  <w:p w:rsidR="004B36A1" w:rsidRPr="00D661A7" w:rsidRDefault="004B3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4B36A1">
      <w:trPr>
        <w:cantSplit/>
      </w:trPr>
      <w:tc>
        <w:tcPr>
          <w:tcW w:w="7938" w:type="dxa"/>
          <w:vAlign w:val="bottom"/>
        </w:tcPr>
        <w:p w:rsidR="004B36A1" w:rsidRDefault="004B36A1" w:rsidP="00321AF3">
          <w:pPr>
            <w:pStyle w:val="Footer"/>
            <w:jc w:val="right"/>
          </w:pPr>
          <w:fldSimple w:instr=" STYLEREF  Title ">
            <w:r w:rsidR="004235D0">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4B36A1" w:rsidRDefault="004B36A1" w:rsidP="00321AF3">
          <w:pPr>
            <w:pStyle w:val="Footer"/>
          </w:pPr>
        </w:p>
      </w:tc>
      <w:tc>
        <w:tcPr>
          <w:tcW w:w="142" w:type="dxa"/>
          <w:tcBorders>
            <w:left w:val="single" w:sz="8" w:space="0" w:color="7C7C7C"/>
          </w:tcBorders>
          <w:vAlign w:val="bottom"/>
        </w:tcPr>
        <w:p w:rsidR="004B36A1" w:rsidRDefault="004B36A1" w:rsidP="00321AF3">
          <w:pPr>
            <w:pStyle w:val="Footer"/>
          </w:pPr>
        </w:p>
      </w:tc>
      <w:tc>
        <w:tcPr>
          <w:tcW w:w="567" w:type="dxa"/>
          <w:vAlign w:val="bottom"/>
        </w:tcPr>
        <w:p w:rsidR="004B36A1" w:rsidRDefault="004B36A1" w:rsidP="00321AF3">
          <w:pPr>
            <w:pStyle w:val="Footer"/>
          </w:pPr>
          <w:r>
            <w:rPr>
              <w:rStyle w:val="PageNumber"/>
            </w:rPr>
            <w:fldChar w:fldCharType="begin"/>
          </w:r>
          <w:r>
            <w:rPr>
              <w:rStyle w:val="PageNumber"/>
            </w:rPr>
            <w:instrText xml:space="preserve"> PAGE </w:instrText>
          </w:r>
          <w:r>
            <w:rPr>
              <w:rStyle w:val="PageNumber"/>
            </w:rPr>
            <w:fldChar w:fldCharType="separate"/>
          </w:r>
          <w:r w:rsidR="004235D0">
            <w:rPr>
              <w:rStyle w:val="PageNumber"/>
              <w:noProof/>
            </w:rPr>
            <w:t>10</w:t>
          </w:r>
          <w:r>
            <w:rPr>
              <w:rStyle w:val="PageNumber"/>
            </w:rPr>
            <w:fldChar w:fldCharType="end"/>
          </w:r>
        </w:p>
      </w:tc>
    </w:tr>
  </w:tbl>
  <w:p w:rsidR="004B36A1" w:rsidRPr="00BB2D33" w:rsidRDefault="004B36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4B36A1">
      <w:trPr>
        <w:cantSplit/>
      </w:trPr>
      <w:tc>
        <w:tcPr>
          <w:tcW w:w="567" w:type="dxa"/>
          <w:vAlign w:val="bottom"/>
        </w:tcPr>
        <w:p w:rsidR="004B36A1" w:rsidRDefault="004B36A1"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142" w:type="dxa"/>
          <w:tcBorders>
            <w:right w:val="single" w:sz="8" w:space="0" w:color="7C7C7C"/>
          </w:tcBorders>
          <w:vAlign w:val="bottom"/>
        </w:tcPr>
        <w:p w:rsidR="004B36A1" w:rsidRDefault="004B36A1" w:rsidP="00BB7D2D">
          <w:pPr>
            <w:pStyle w:val="Footer"/>
          </w:pPr>
        </w:p>
      </w:tc>
      <w:tc>
        <w:tcPr>
          <w:tcW w:w="142" w:type="dxa"/>
          <w:tcBorders>
            <w:left w:val="single" w:sz="8" w:space="0" w:color="7C7C7C"/>
          </w:tcBorders>
          <w:vAlign w:val="bottom"/>
        </w:tcPr>
        <w:p w:rsidR="004B36A1" w:rsidRDefault="004B36A1" w:rsidP="00BB7D2D">
          <w:pPr>
            <w:pStyle w:val="Footer"/>
          </w:pPr>
        </w:p>
      </w:tc>
      <w:tc>
        <w:tcPr>
          <w:tcW w:w="7938" w:type="dxa"/>
          <w:vAlign w:val="bottom"/>
        </w:tcPr>
        <w:p w:rsidR="004B36A1" w:rsidRDefault="004B36A1" w:rsidP="00BB7D2D">
          <w:pPr>
            <w:pStyle w:val="Footer"/>
          </w:pPr>
          <w:r w:rsidRPr="00D661A7">
            <w:rPr>
              <w:b/>
            </w:rPr>
            <w:t>IPART</w:t>
          </w:r>
          <w:r w:rsidRPr="00CF179E">
            <w:rPr>
              <w:rFonts w:ascii="Arial" w:eastAsia="Arial Unicode MS" w:hAnsi="Arial Unicode MS" w:cs="Arial"/>
            </w:rPr>
            <w:t> </w:t>
          </w:r>
          <w:fldSimple w:instr=" STYLEREF  Title ">
            <w:r w:rsidR="004235D0">
              <w:rPr>
                <w:noProof/>
              </w:rPr>
              <w:t>Special Variation Application Form – Part B</w:t>
            </w:r>
          </w:fldSimple>
        </w:p>
      </w:tc>
    </w:tr>
  </w:tbl>
  <w:p w:rsidR="004B36A1" w:rsidRDefault="004B36A1" w:rsidP="00D17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A1" w:rsidRDefault="004B36A1" w:rsidP="00856DDC">
      <w:r>
        <w:separator/>
      </w:r>
    </w:p>
  </w:footnote>
  <w:footnote w:type="continuationSeparator" w:id="0">
    <w:p w:rsidR="004B36A1" w:rsidRDefault="004B36A1" w:rsidP="00856DDC">
      <w:r>
        <w:continuationSeparator/>
      </w:r>
    </w:p>
    <w:p w:rsidR="004B36A1" w:rsidRDefault="004B36A1"/>
  </w:footnote>
  <w:footnote w:id="1">
    <w:p w:rsidR="004B36A1" w:rsidRPr="0035428F" w:rsidRDefault="004B36A1" w:rsidP="00183E25">
      <w:pPr>
        <w:pStyle w:val="FootnoteText"/>
        <w:rPr>
          <w:lang w:val="en-US"/>
        </w:rPr>
      </w:pPr>
      <w:r w:rsidRPr="00B17EC1">
        <w:rPr>
          <w:rStyle w:val="FootnoteReference"/>
        </w:rPr>
        <w:footnoteRef/>
      </w:r>
      <w:r w:rsidRPr="00B17EC1">
        <w:t xml:space="preserve"> </w:t>
      </w:r>
      <w:r w:rsidRPr="00B17EC1">
        <w:tab/>
      </w:r>
      <w:r w:rsidRPr="00385582">
        <w:t xml:space="preserve">See </w:t>
      </w:r>
      <w:r w:rsidRPr="00385582">
        <w:rPr>
          <w:lang w:val="en-US"/>
        </w:rPr>
        <w:t xml:space="preserve">Planning Circular 10-025 dated 24 November 2010 at </w:t>
      </w:r>
      <w:hyperlink r:id="rId1" w:history="1">
        <w:r w:rsidRPr="00385582">
          <w:rPr>
            <w:rStyle w:val="Hyperlink"/>
            <w:lang w:val="en-US"/>
          </w:rPr>
          <w:t>www.planning.nsw.gov.au</w:t>
        </w:r>
      </w:hyperlink>
      <w:r w:rsidRPr="00385582">
        <w:rPr>
          <w:rStyle w:val="Hyperlink"/>
          <w:lang w:val="en-US"/>
        </w:rPr>
        <w:t xml:space="preserve"> </w:t>
      </w:r>
      <w:r w:rsidRPr="00385582">
        <w:t>and</w:t>
      </w:r>
      <w:r w:rsidRPr="00385582">
        <w:rPr>
          <w:lang w:val="en-US"/>
        </w:rPr>
        <w:t xml:space="preserve"> for t</w:t>
      </w:r>
      <w:r w:rsidRPr="00385582">
        <w:t xml:space="preserve">he most recent </w:t>
      </w:r>
      <w:r w:rsidRPr="00385582">
        <w:rPr>
          <w:lang w:val="en-US"/>
        </w:rPr>
        <w:t xml:space="preserve">Direction issued under section 94E of the </w:t>
      </w:r>
      <w:r w:rsidRPr="00385582">
        <w:rPr>
          <w:i/>
        </w:rPr>
        <w:t>Environmental Planning and Assessment Act 1979</w:t>
      </w:r>
      <w:r w:rsidRPr="00385582">
        <w:rPr>
          <w:lang w:val="en-US"/>
        </w:rPr>
        <w:t xml:space="preserve">.  See also </w:t>
      </w:r>
      <w:r w:rsidRPr="00385582">
        <w:t xml:space="preserve">Planning Circular </w:t>
      </w:r>
      <w:r w:rsidRPr="00385582">
        <w:rPr>
          <w:lang w:val="en-US"/>
        </w:rPr>
        <w:t>PS 10-022 dated 16 September 2010.</w:t>
      </w:r>
    </w:p>
  </w:footnote>
  <w:footnote w:id="2">
    <w:p w:rsidR="004B36A1" w:rsidRDefault="004B36A1" w:rsidP="00610D80">
      <w:pPr>
        <w:pStyle w:val="FootnoteText"/>
      </w:pPr>
      <w:r>
        <w:rPr>
          <w:rStyle w:val="FootnoteReference"/>
        </w:rPr>
        <w:footnoteRef/>
      </w:r>
      <w:r>
        <w:t xml:space="preserve"> </w:t>
      </w:r>
      <w:r>
        <w:tab/>
      </w:r>
      <w:r w:rsidRPr="000403F0">
        <w:t>The relevant documents are the Community Strategic Plan, Delivery Program, Long Term Financial Plan and, where applicable, Asset Management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A1" w:rsidRDefault="004B36A1" w:rsidP="00667EA7">
    <w:pPr>
      <w:pStyle w:val="Header"/>
      <w:jc w:val="right"/>
    </w:pPr>
    <w:r>
      <w:rPr>
        <w:noProof/>
      </w:rPr>
      <w:drawing>
        <wp:anchor distT="0" distB="0" distL="114300" distR="114300" simplePos="0" relativeHeight="251666432" behindDoc="1" locked="0" layoutInCell="0" allowOverlap="0">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A1" w:rsidRDefault="004B36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A1" w:rsidRPr="00BB2D33" w:rsidRDefault="004B36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A1" w:rsidRDefault="004B36A1">
    <w:pPr>
      <w:pStyle w:val="Header"/>
    </w:pPr>
    <w:r>
      <w:rPr>
        <w:noProof/>
      </w:rPr>
      <mc:AlternateContent>
        <mc:Choice Requires="wps">
          <w:drawing>
            <wp:anchor distT="0" distB="0" distL="114300" distR="114300" simplePos="0" relativeHeight="251664384" behindDoc="0" locked="0" layoutInCell="0" allowOverlap="0" wp14:anchorId="5F5021A9" wp14:editId="20284C8E">
              <wp:simplePos x="0" y="0"/>
              <wp:positionH relativeFrom="page">
                <wp:posOffset>9721215</wp:posOffset>
              </wp:positionH>
              <wp:positionV relativeFrom="page">
                <wp:posOffset>1080135</wp:posOffset>
              </wp:positionV>
              <wp:extent cx="173355" cy="2879725"/>
              <wp:effectExtent l="0" t="3810" r="1905" b="2540"/>
              <wp:wrapNone/>
              <wp:docPr id="2"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6A1" w:rsidRDefault="004B36A1"/>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v6If1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4B36A1" w:rsidRDefault="004B36A1"/>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A1" w:rsidRPr="004401AD" w:rsidRDefault="004B36A1">
    <w:pPr>
      <w:pStyle w:val="Header"/>
      <w:rPr>
        <w:lang w:val="en-US"/>
      </w:rPr>
    </w:pPr>
    <w:r>
      <w:rPr>
        <w:noProof/>
      </w:rPr>
      <mc:AlternateContent>
        <mc:Choice Requires="wps">
          <w:drawing>
            <wp:anchor distT="0" distB="0" distL="114300" distR="114300" simplePos="0" relativeHeight="251665408" behindDoc="0" locked="0" layoutInCell="0" allowOverlap="0" wp14:anchorId="450DA1B4" wp14:editId="3701401F">
              <wp:simplePos x="0" y="0"/>
              <wp:positionH relativeFrom="page">
                <wp:posOffset>9721215</wp:posOffset>
              </wp:positionH>
              <wp:positionV relativeFrom="page">
                <wp:posOffset>3564255</wp:posOffset>
              </wp:positionV>
              <wp:extent cx="173355" cy="2879725"/>
              <wp:effectExtent l="0" t="1905" r="1905" b="4445"/>
              <wp:wrapNone/>
              <wp:docPr id="1"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6A1" w:rsidRDefault="004B36A1"/>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3.65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" o:allowincell="f" o:allowoverlap="f" stroked="f">
              <v:textbox style="layout-flow:vertical;mso-fit-shape-to-text:t" inset="0,0,0,0">
                <w:txbxContent>
                  <w:p w:rsidR="004B36A1" w:rsidRDefault="004B36A1"/>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Myriad Pro" w:hAnsi="Myriad Pro"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nsid w:val="13E72AE2"/>
    <w:multiLevelType w:val="hybridMultilevel"/>
    <w:tmpl w:val="4CBC5BA6"/>
    <w:lvl w:ilvl="0" w:tplc="B26A4108">
      <w:start w:val="1"/>
      <w:numFmt w:val="bullet"/>
      <w:pStyle w:val="QuoteBullet"/>
      <w:lvlText w:val="•"/>
      <w:lvlJc w:val="left"/>
      <w:pPr>
        <w:tabs>
          <w:tab w:val="num" w:pos="567"/>
        </w:tabs>
        <w:ind w:left="567" w:hanging="283"/>
      </w:pPr>
      <w:rPr>
        <w:rFonts w:ascii="Myriad Pro" w:hAnsi="Myriad Pro"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6">
    <w:nsid w:val="15B454A7"/>
    <w:multiLevelType w:val="hybridMultilevel"/>
    <w:tmpl w:val="50289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8F5F7D"/>
    <w:multiLevelType w:val="hybridMultilevel"/>
    <w:tmpl w:val="15A8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9">
    <w:nsid w:val="21BE3906"/>
    <w:multiLevelType w:val="hybridMultilevel"/>
    <w:tmpl w:val="B7A84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CA0C5B"/>
    <w:multiLevelType w:val="hybridMultilevel"/>
    <w:tmpl w:val="64E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DB256C"/>
    <w:multiLevelType w:val="hybridMultilevel"/>
    <w:tmpl w:val="A022A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DC3E60"/>
    <w:multiLevelType w:val="hybridMultilevel"/>
    <w:tmpl w:val="1D8E419C"/>
    <w:lvl w:ilvl="0" w:tplc="B3124D4E">
      <w:start w:val="1"/>
      <w:numFmt w:val="bullet"/>
      <w:pStyle w:val="RecommendationBullet"/>
      <w:lvlText w:val="–"/>
      <w:lvlJc w:val="left"/>
      <w:pPr>
        <w:tabs>
          <w:tab w:val="num" w:pos="709"/>
        </w:tabs>
        <w:ind w:left="709" w:hanging="284"/>
      </w:pPr>
      <w:rPr>
        <w:rFonts w:ascii="Myriad Pro" w:hAnsi="Myriad Pro" w:hint="default"/>
        <w:color w:val="auto"/>
        <w:spacing w:val="0"/>
        <w:w w:val="100"/>
        <w:position w:val="0"/>
        <w:sz w:val="21"/>
        <w:szCs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5C5A49"/>
    <w:multiLevelType w:val="hybridMultilevel"/>
    <w:tmpl w:val="E918F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4F56432"/>
    <w:multiLevelType w:val="hybridMultilevel"/>
    <w:tmpl w:val="273C9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18">
    <w:nsid w:val="39233F6B"/>
    <w:multiLevelType w:val="hybridMultilevel"/>
    <w:tmpl w:val="A2307E90"/>
    <w:lvl w:ilvl="0" w:tplc="44A02CBA">
      <w:start w:val="1"/>
      <w:numFmt w:val="lowerLetter"/>
      <w:pStyle w:val="Box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3F6FF2"/>
    <w:multiLevelType w:val="hybridMultilevel"/>
    <w:tmpl w:val="DECCC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524803"/>
    <w:multiLevelType w:val="hybridMultilevel"/>
    <w:tmpl w:val="E08E51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4362438F"/>
    <w:multiLevelType w:val="hybridMultilevel"/>
    <w:tmpl w:val="139E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EA183A"/>
    <w:multiLevelType w:val="hybridMultilevel"/>
    <w:tmpl w:val="1966D872"/>
    <w:lvl w:ilvl="0" w:tplc="4A342E36">
      <w:start w:val="1"/>
      <w:numFmt w:val="lowerLetter"/>
      <w:pStyle w:val="ListNumber2"/>
      <w:lvlText w:val="%1)"/>
      <w:lvlJc w:val="left"/>
      <w:pPr>
        <w:tabs>
          <w:tab w:val="num" w:pos="567"/>
        </w:tabs>
        <w:ind w:left="567" w:hanging="283"/>
      </w:pPr>
      <w:rPr>
        <w:rFonts w:hint="default"/>
      </w:rPr>
    </w:lvl>
    <w:lvl w:ilvl="1" w:tplc="171CD036" w:tentative="1">
      <w:start w:val="1"/>
      <w:numFmt w:val="lowerLetter"/>
      <w:lvlText w:val="%2."/>
      <w:lvlJc w:val="left"/>
      <w:pPr>
        <w:tabs>
          <w:tab w:val="num" w:pos="1440"/>
        </w:tabs>
        <w:ind w:left="1440" w:hanging="360"/>
      </w:pPr>
    </w:lvl>
    <w:lvl w:ilvl="2" w:tplc="493A97FC" w:tentative="1">
      <w:start w:val="1"/>
      <w:numFmt w:val="lowerRoman"/>
      <w:lvlText w:val="%3."/>
      <w:lvlJc w:val="right"/>
      <w:pPr>
        <w:tabs>
          <w:tab w:val="num" w:pos="2160"/>
        </w:tabs>
        <w:ind w:left="2160" w:hanging="180"/>
      </w:pPr>
    </w:lvl>
    <w:lvl w:ilvl="3" w:tplc="1DF6E5DE" w:tentative="1">
      <w:start w:val="1"/>
      <w:numFmt w:val="decimal"/>
      <w:lvlText w:val="%4."/>
      <w:lvlJc w:val="left"/>
      <w:pPr>
        <w:tabs>
          <w:tab w:val="num" w:pos="2880"/>
        </w:tabs>
        <w:ind w:left="2880" w:hanging="360"/>
      </w:pPr>
    </w:lvl>
    <w:lvl w:ilvl="4" w:tplc="2FD2113E" w:tentative="1">
      <w:start w:val="1"/>
      <w:numFmt w:val="lowerLetter"/>
      <w:lvlText w:val="%5."/>
      <w:lvlJc w:val="left"/>
      <w:pPr>
        <w:tabs>
          <w:tab w:val="num" w:pos="3600"/>
        </w:tabs>
        <w:ind w:left="3600" w:hanging="360"/>
      </w:pPr>
    </w:lvl>
    <w:lvl w:ilvl="5" w:tplc="B686A36E" w:tentative="1">
      <w:start w:val="1"/>
      <w:numFmt w:val="lowerRoman"/>
      <w:lvlText w:val="%6."/>
      <w:lvlJc w:val="right"/>
      <w:pPr>
        <w:tabs>
          <w:tab w:val="num" w:pos="4320"/>
        </w:tabs>
        <w:ind w:left="4320" w:hanging="180"/>
      </w:pPr>
    </w:lvl>
    <w:lvl w:ilvl="6" w:tplc="235AA3B2" w:tentative="1">
      <w:start w:val="1"/>
      <w:numFmt w:val="decimal"/>
      <w:lvlText w:val="%7."/>
      <w:lvlJc w:val="left"/>
      <w:pPr>
        <w:tabs>
          <w:tab w:val="num" w:pos="5040"/>
        </w:tabs>
        <w:ind w:left="5040" w:hanging="360"/>
      </w:pPr>
    </w:lvl>
    <w:lvl w:ilvl="7" w:tplc="55EE1A68" w:tentative="1">
      <w:start w:val="1"/>
      <w:numFmt w:val="lowerLetter"/>
      <w:lvlText w:val="%8."/>
      <w:lvlJc w:val="left"/>
      <w:pPr>
        <w:tabs>
          <w:tab w:val="num" w:pos="5760"/>
        </w:tabs>
        <w:ind w:left="5760" w:hanging="360"/>
      </w:pPr>
    </w:lvl>
    <w:lvl w:ilvl="8" w:tplc="6BDC37F8" w:tentative="1">
      <w:start w:val="1"/>
      <w:numFmt w:val="lowerRoman"/>
      <w:lvlText w:val="%9."/>
      <w:lvlJc w:val="right"/>
      <w:pPr>
        <w:tabs>
          <w:tab w:val="num" w:pos="6480"/>
        </w:tabs>
        <w:ind w:left="6480" w:hanging="180"/>
      </w:pPr>
    </w:lvl>
  </w:abstractNum>
  <w:abstractNum w:abstractNumId="23">
    <w:nsid w:val="463B7C14"/>
    <w:multiLevelType w:val="hybridMultilevel"/>
    <w:tmpl w:val="CEB6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820435"/>
    <w:multiLevelType w:val="hybridMultilevel"/>
    <w:tmpl w:val="3F26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8340EA"/>
    <w:multiLevelType w:val="hybridMultilevel"/>
    <w:tmpl w:val="19EE0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4C4F08"/>
    <w:multiLevelType w:val="hybridMultilevel"/>
    <w:tmpl w:val="79FE89A4"/>
    <w:lvl w:ilvl="0" w:tplc="B3124D4E">
      <w:start w:val="1"/>
      <w:numFmt w:val="decimal"/>
      <w:pStyle w:val="Equation"/>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53FE6C60"/>
    <w:multiLevelType w:val="hybridMultilevel"/>
    <w:tmpl w:val="C032C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357257"/>
    <w:multiLevelType w:val="hybridMultilevel"/>
    <w:tmpl w:val="7150A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C573AB"/>
    <w:multiLevelType w:val="hybridMultilevel"/>
    <w:tmpl w:val="5DB418C8"/>
    <w:lvl w:ilvl="0" w:tplc="415255E6">
      <w:start w:val="1"/>
      <w:numFmt w:val="bullet"/>
      <w:lvlText w:val=""/>
      <w:lvlJc w:val="left"/>
      <w:pPr>
        <w:ind w:left="2145" w:hanging="360"/>
      </w:pPr>
      <w:rPr>
        <w:rFonts w:ascii="Symbol" w:hAnsi="Symbol" w:hint="default"/>
        <w:color w:val="002664"/>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0">
    <w:nsid w:val="59486825"/>
    <w:multiLevelType w:val="hybridMultilevel"/>
    <w:tmpl w:val="553AF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8A5214"/>
    <w:multiLevelType w:val="hybridMultilevel"/>
    <w:tmpl w:val="0B5AC610"/>
    <w:lvl w:ilvl="0" w:tplc="58529D98">
      <w:start w:val="1"/>
      <w:numFmt w:val="decimal"/>
      <w:pStyle w:val="TableListNumber"/>
      <w:lvlText w:val="%1."/>
      <w:lvlJc w:val="left"/>
      <w:pPr>
        <w:tabs>
          <w:tab w:val="num" w:pos="227"/>
        </w:tabs>
        <w:ind w:left="227" w:hanging="227"/>
      </w:pPr>
      <w:rPr>
        <w:rFonts w:hint="default"/>
      </w:rPr>
    </w:lvl>
    <w:lvl w:ilvl="1" w:tplc="5A3E84D4" w:tentative="1">
      <w:start w:val="1"/>
      <w:numFmt w:val="lowerLetter"/>
      <w:lvlText w:val="%2."/>
      <w:lvlJc w:val="left"/>
      <w:pPr>
        <w:tabs>
          <w:tab w:val="num" w:pos="1440"/>
        </w:tabs>
        <w:ind w:left="1440" w:hanging="360"/>
      </w:pPr>
    </w:lvl>
    <w:lvl w:ilvl="2" w:tplc="286AF8EA" w:tentative="1">
      <w:start w:val="1"/>
      <w:numFmt w:val="lowerRoman"/>
      <w:lvlText w:val="%3."/>
      <w:lvlJc w:val="right"/>
      <w:pPr>
        <w:tabs>
          <w:tab w:val="num" w:pos="2160"/>
        </w:tabs>
        <w:ind w:left="2160" w:hanging="180"/>
      </w:pPr>
    </w:lvl>
    <w:lvl w:ilvl="3" w:tplc="D624CD06" w:tentative="1">
      <w:start w:val="1"/>
      <w:numFmt w:val="decimal"/>
      <w:lvlText w:val="%4."/>
      <w:lvlJc w:val="left"/>
      <w:pPr>
        <w:tabs>
          <w:tab w:val="num" w:pos="2880"/>
        </w:tabs>
        <w:ind w:left="2880" w:hanging="360"/>
      </w:pPr>
    </w:lvl>
    <w:lvl w:ilvl="4" w:tplc="D7CE9448" w:tentative="1">
      <w:start w:val="1"/>
      <w:numFmt w:val="lowerLetter"/>
      <w:lvlText w:val="%5."/>
      <w:lvlJc w:val="left"/>
      <w:pPr>
        <w:tabs>
          <w:tab w:val="num" w:pos="3600"/>
        </w:tabs>
        <w:ind w:left="3600" w:hanging="360"/>
      </w:pPr>
    </w:lvl>
    <w:lvl w:ilvl="5" w:tplc="249035AE" w:tentative="1">
      <w:start w:val="1"/>
      <w:numFmt w:val="lowerRoman"/>
      <w:lvlText w:val="%6."/>
      <w:lvlJc w:val="right"/>
      <w:pPr>
        <w:tabs>
          <w:tab w:val="num" w:pos="4320"/>
        </w:tabs>
        <w:ind w:left="4320" w:hanging="180"/>
      </w:pPr>
    </w:lvl>
    <w:lvl w:ilvl="6" w:tplc="C81A0EBE" w:tentative="1">
      <w:start w:val="1"/>
      <w:numFmt w:val="decimal"/>
      <w:lvlText w:val="%7."/>
      <w:lvlJc w:val="left"/>
      <w:pPr>
        <w:tabs>
          <w:tab w:val="num" w:pos="5040"/>
        </w:tabs>
        <w:ind w:left="5040" w:hanging="360"/>
      </w:pPr>
    </w:lvl>
    <w:lvl w:ilvl="7" w:tplc="DA2A17D4" w:tentative="1">
      <w:start w:val="1"/>
      <w:numFmt w:val="lowerLetter"/>
      <w:lvlText w:val="%8."/>
      <w:lvlJc w:val="left"/>
      <w:pPr>
        <w:tabs>
          <w:tab w:val="num" w:pos="5760"/>
        </w:tabs>
        <w:ind w:left="5760" w:hanging="360"/>
      </w:pPr>
    </w:lvl>
    <w:lvl w:ilvl="8" w:tplc="69181B08" w:tentative="1">
      <w:start w:val="1"/>
      <w:numFmt w:val="lowerRoman"/>
      <w:lvlText w:val="%9."/>
      <w:lvlJc w:val="right"/>
      <w:pPr>
        <w:tabs>
          <w:tab w:val="num" w:pos="6480"/>
        </w:tabs>
        <w:ind w:left="6480" w:hanging="180"/>
      </w:pPr>
    </w:lvl>
  </w:abstractNum>
  <w:abstractNum w:abstractNumId="32">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3">
    <w:nsid w:val="5ADB5D3C"/>
    <w:multiLevelType w:val="singleLevel"/>
    <w:tmpl w:val="CD28FF5A"/>
    <w:lvl w:ilvl="0">
      <w:start w:val="1"/>
      <w:numFmt w:val="bullet"/>
      <w:pStyle w:val="TableListBullet2"/>
      <w:lvlText w:val="–"/>
      <w:lvlJc w:val="left"/>
      <w:pPr>
        <w:tabs>
          <w:tab w:val="num" w:pos="454"/>
        </w:tabs>
        <w:ind w:left="454" w:hanging="227"/>
      </w:pPr>
      <w:rPr>
        <w:rFonts w:ascii="Myriad Pro" w:hAnsi="Myriad Pro" w:hint="default"/>
      </w:rPr>
    </w:lvl>
  </w:abstractNum>
  <w:abstractNum w:abstractNumId="34">
    <w:nsid w:val="615F53CA"/>
    <w:multiLevelType w:val="hybridMultilevel"/>
    <w:tmpl w:val="A4F00B02"/>
    <w:lvl w:ilvl="0" w:tplc="6CA6A542">
      <w:start w:val="1"/>
      <w:numFmt w:val="decimal"/>
      <w:pStyle w:val="SeekCommentNumber"/>
      <w:lvlText w:val="%1"/>
      <w:lvlJc w:val="left"/>
      <w:pPr>
        <w:tabs>
          <w:tab w:val="num" w:pos="425"/>
        </w:tabs>
        <w:ind w:left="425" w:hanging="425"/>
      </w:pPr>
      <w:rPr>
        <w:rFonts w:hint="default"/>
      </w:rPr>
    </w:lvl>
    <w:lvl w:ilvl="1" w:tplc="7B04E176" w:tentative="1">
      <w:start w:val="1"/>
      <w:numFmt w:val="lowerLetter"/>
      <w:lvlText w:val="%2."/>
      <w:lvlJc w:val="left"/>
      <w:pPr>
        <w:tabs>
          <w:tab w:val="num" w:pos="1560"/>
        </w:tabs>
        <w:ind w:left="1560" w:hanging="360"/>
      </w:pPr>
    </w:lvl>
    <w:lvl w:ilvl="2" w:tplc="2E20DCDE" w:tentative="1">
      <w:start w:val="1"/>
      <w:numFmt w:val="lowerRoman"/>
      <w:lvlText w:val="%3."/>
      <w:lvlJc w:val="right"/>
      <w:pPr>
        <w:tabs>
          <w:tab w:val="num" w:pos="2280"/>
        </w:tabs>
        <w:ind w:left="2280" w:hanging="180"/>
      </w:pPr>
    </w:lvl>
    <w:lvl w:ilvl="3" w:tplc="E6FCDBC0" w:tentative="1">
      <w:start w:val="1"/>
      <w:numFmt w:val="decimal"/>
      <w:lvlText w:val="%4."/>
      <w:lvlJc w:val="left"/>
      <w:pPr>
        <w:tabs>
          <w:tab w:val="num" w:pos="3000"/>
        </w:tabs>
        <w:ind w:left="3000" w:hanging="360"/>
      </w:pPr>
    </w:lvl>
    <w:lvl w:ilvl="4" w:tplc="0644E14E" w:tentative="1">
      <w:start w:val="1"/>
      <w:numFmt w:val="lowerLetter"/>
      <w:lvlText w:val="%5."/>
      <w:lvlJc w:val="left"/>
      <w:pPr>
        <w:tabs>
          <w:tab w:val="num" w:pos="3720"/>
        </w:tabs>
        <w:ind w:left="3720" w:hanging="360"/>
      </w:pPr>
    </w:lvl>
    <w:lvl w:ilvl="5" w:tplc="0A8E60AA" w:tentative="1">
      <w:start w:val="1"/>
      <w:numFmt w:val="lowerRoman"/>
      <w:lvlText w:val="%6."/>
      <w:lvlJc w:val="right"/>
      <w:pPr>
        <w:tabs>
          <w:tab w:val="num" w:pos="4440"/>
        </w:tabs>
        <w:ind w:left="4440" w:hanging="180"/>
      </w:pPr>
    </w:lvl>
    <w:lvl w:ilvl="6" w:tplc="D9029A20" w:tentative="1">
      <w:start w:val="1"/>
      <w:numFmt w:val="decimal"/>
      <w:lvlText w:val="%7."/>
      <w:lvlJc w:val="left"/>
      <w:pPr>
        <w:tabs>
          <w:tab w:val="num" w:pos="5160"/>
        </w:tabs>
        <w:ind w:left="5160" w:hanging="360"/>
      </w:pPr>
    </w:lvl>
    <w:lvl w:ilvl="7" w:tplc="53CC0E56" w:tentative="1">
      <w:start w:val="1"/>
      <w:numFmt w:val="lowerLetter"/>
      <w:lvlText w:val="%8."/>
      <w:lvlJc w:val="left"/>
      <w:pPr>
        <w:tabs>
          <w:tab w:val="num" w:pos="5880"/>
        </w:tabs>
        <w:ind w:left="5880" w:hanging="360"/>
      </w:pPr>
    </w:lvl>
    <w:lvl w:ilvl="8" w:tplc="5D3C5086" w:tentative="1">
      <w:start w:val="1"/>
      <w:numFmt w:val="lowerRoman"/>
      <w:lvlText w:val="%9."/>
      <w:lvlJc w:val="right"/>
      <w:pPr>
        <w:tabs>
          <w:tab w:val="num" w:pos="6600"/>
        </w:tabs>
        <w:ind w:left="6600" w:hanging="180"/>
      </w:pPr>
    </w:lvl>
  </w:abstractNum>
  <w:abstractNum w:abstractNumId="35">
    <w:nsid w:val="62145975"/>
    <w:multiLevelType w:val="hybridMultilevel"/>
    <w:tmpl w:val="65889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64F264CF"/>
    <w:multiLevelType w:val="multilevel"/>
    <w:tmpl w:val="5A4ECCD2"/>
    <w:lvl w:ilvl="0">
      <w:start w:val="1"/>
      <w:numFmt w:val="decimal"/>
      <w:pStyle w:val="Heading1"/>
      <w:lvlText w:val="%1"/>
      <w:lvlJc w:val="left"/>
      <w:pPr>
        <w:tabs>
          <w:tab w:val="num" w:pos="709"/>
        </w:tabs>
        <w:ind w:left="709" w:hanging="709"/>
      </w:pPr>
      <w:rPr>
        <w:rFonts w:ascii="Myriad Pro" w:hAnsi="Myriad Pro"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7">
    <w:nsid w:val="66602F65"/>
    <w:multiLevelType w:val="hybridMultilevel"/>
    <w:tmpl w:val="D63C6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F20C65"/>
    <w:multiLevelType w:val="hybridMultilevel"/>
    <w:tmpl w:val="3B0EE168"/>
    <w:lvl w:ilvl="0" w:tplc="D676FF72">
      <w:start w:val="1"/>
      <w:numFmt w:val="decimal"/>
      <w:pStyle w:val="BoxListNumber"/>
      <w:lvlText w:val="%1."/>
      <w:lvlJc w:val="left"/>
      <w:pPr>
        <w:tabs>
          <w:tab w:val="num" w:pos="284"/>
        </w:tabs>
        <w:ind w:left="284" w:hanging="284"/>
      </w:pPr>
      <w:rPr>
        <w:rFonts w:hint="default"/>
      </w:rPr>
    </w:lvl>
    <w:lvl w:ilvl="1" w:tplc="53263E46" w:tentative="1">
      <w:start w:val="1"/>
      <w:numFmt w:val="lowerLetter"/>
      <w:lvlText w:val="%2."/>
      <w:lvlJc w:val="left"/>
      <w:pPr>
        <w:tabs>
          <w:tab w:val="num" w:pos="1440"/>
        </w:tabs>
        <w:ind w:left="1440" w:hanging="360"/>
      </w:pPr>
    </w:lvl>
    <w:lvl w:ilvl="2" w:tplc="86641428" w:tentative="1">
      <w:start w:val="1"/>
      <w:numFmt w:val="lowerRoman"/>
      <w:lvlText w:val="%3."/>
      <w:lvlJc w:val="right"/>
      <w:pPr>
        <w:tabs>
          <w:tab w:val="num" w:pos="2160"/>
        </w:tabs>
        <w:ind w:left="2160" w:hanging="180"/>
      </w:pPr>
    </w:lvl>
    <w:lvl w:ilvl="3" w:tplc="8A74EBDE" w:tentative="1">
      <w:start w:val="1"/>
      <w:numFmt w:val="decimal"/>
      <w:lvlText w:val="%4."/>
      <w:lvlJc w:val="left"/>
      <w:pPr>
        <w:tabs>
          <w:tab w:val="num" w:pos="2880"/>
        </w:tabs>
        <w:ind w:left="2880" w:hanging="360"/>
      </w:pPr>
    </w:lvl>
    <w:lvl w:ilvl="4" w:tplc="43520DCC" w:tentative="1">
      <w:start w:val="1"/>
      <w:numFmt w:val="lowerLetter"/>
      <w:lvlText w:val="%5."/>
      <w:lvlJc w:val="left"/>
      <w:pPr>
        <w:tabs>
          <w:tab w:val="num" w:pos="3600"/>
        </w:tabs>
        <w:ind w:left="3600" w:hanging="360"/>
      </w:pPr>
    </w:lvl>
    <w:lvl w:ilvl="5" w:tplc="B1627E32" w:tentative="1">
      <w:start w:val="1"/>
      <w:numFmt w:val="lowerRoman"/>
      <w:lvlText w:val="%6."/>
      <w:lvlJc w:val="right"/>
      <w:pPr>
        <w:tabs>
          <w:tab w:val="num" w:pos="4320"/>
        </w:tabs>
        <w:ind w:left="4320" w:hanging="180"/>
      </w:pPr>
    </w:lvl>
    <w:lvl w:ilvl="6" w:tplc="B7D29780" w:tentative="1">
      <w:start w:val="1"/>
      <w:numFmt w:val="decimal"/>
      <w:lvlText w:val="%7."/>
      <w:lvlJc w:val="left"/>
      <w:pPr>
        <w:tabs>
          <w:tab w:val="num" w:pos="5040"/>
        </w:tabs>
        <w:ind w:left="5040" w:hanging="360"/>
      </w:pPr>
    </w:lvl>
    <w:lvl w:ilvl="7" w:tplc="9758779E" w:tentative="1">
      <w:start w:val="1"/>
      <w:numFmt w:val="lowerLetter"/>
      <w:lvlText w:val="%8."/>
      <w:lvlJc w:val="left"/>
      <w:pPr>
        <w:tabs>
          <w:tab w:val="num" w:pos="5760"/>
        </w:tabs>
        <w:ind w:left="5760" w:hanging="360"/>
      </w:pPr>
    </w:lvl>
    <w:lvl w:ilvl="8" w:tplc="4D18FADC" w:tentative="1">
      <w:start w:val="1"/>
      <w:numFmt w:val="lowerRoman"/>
      <w:lvlText w:val="%9."/>
      <w:lvlJc w:val="right"/>
      <w:pPr>
        <w:tabs>
          <w:tab w:val="num" w:pos="6480"/>
        </w:tabs>
        <w:ind w:left="6480" w:hanging="180"/>
      </w:pPr>
    </w:lvl>
  </w:abstractNum>
  <w:abstractNum w:abstractNumId="39">
    <w:nsid w:val="68FE29AA"/>
    <w:multiLevelType w:val="hybridMultilevel"/>
    <w:tmpl w:val="3F7E4AB2"/>
    <w:lvl w:ilvl="0" w:tplc="DB0A9842">
      <w:start w:val="1"/>
      <w:numFmt w:val="bullet"/>
      <w:pStyle w:val="FindingBullet"/>
      <w:lvlText w:val="–"/>
      <w:lvlJc w:val="left"/>
      <w:pPr>
        <w:tabs>
          <w:tab w:val="num" w:pos="709"/>
        </w:tabs>
        <w:ind w:left="709" w:hanging="284"/>
      </w:pPr>
      <w:rPr>
        <w:rFonts w:ascii="Myriad Pro" w:hAnsi="Myriad Pro" w:hint="default"/>
        <w:color w:val="00408A"/>
        <w:position w:val="0"/>
        <w:sz w:val="21"/>
        <w:szCs w:val="21"/>
      </w:rPr>
    </w:lvl>
    <w:lvl w:ilvl="1" w:tplc="B1406F36" w:tentative="1">
      <w:start w:val="1"/>
      <w:numFmt w:val="lowerLetter"/>
      <w:lvlText w:val="%2."/>
      <w:lvlJc w:val="left"/>
      <w:pPr>
        <w:tabs>
          <w:tab w:val="num" w:pos="1440"/>
        </w:tabs>
        <w:ind w:left="1440" w:hanging="360"/>
      </w:pPr>
    </w:lvl>
    <w:lvl w:ilvl="2" w:tplc="0A804796" w:tentative="1">
      <w:start w:val="1"/>
      <w:numFmt w:val="lowerRoman"/>
      <w:lvlText w:val="%3."/>
      <w:lvlJc w:val="right"/>
      <w:pPr>
        <w:tabs>
          <w:tab w:val="num" w:pos="2160"/>
        </w:tabs>
        <w:ind w:left="2160" w:hanging="180"/>
      </w:pPr>
    </w:lvl>
    <w:lvl w:ilvl="3" w:tplc="AF5498C4" w:tentative="1">
      <w:start w:val="1"/>
      <w:numFmt w:val="decimal"/>
      <w:lvlText w:val="%4."/>
      <w:lvlJc w:val="left"/>
      <w:pPr>
        <w:tabs>
          <w:tab w:val="num" w:pos="2880"/>
        </w:tabs>
        <w:ind w:left="2880" w:hanging="360"/>
      </w:pPr>
    </w:lvl>
    <w:lvl w:ilvl="4" w:tplc="1CCC444A" w:tentative="1">
      <w:start w:val="1"/>
      <w:numFmt w:val="lowerLetter"/>
      <w:lvlText w:val="%5."/>
      <w:lvlJc w:val="left"/>
      <w:pPr>
        <w:tabs>
          <w:tab w:val="num" w:pos="3600"/>
        </w:tabs>
        <w:ind w:left="3600" w:hanging="360"/>
      </w:pPr>
    </w:lvl>
    <w:lvl w:ilvl="5" w:tplc="3F0E5012" w:tentative="1">
      <w:start w:val="1"/>
      <w:numFmt w:val="lowerRoman"/>
      <w:lvlText w:val="%6."/>
      <w:lvlJc w:val="right"/>
      <w:pPr>
        <w:tabs>
          <w:tab w:val="num" w:pos="4320"/>
        </w:tabs>
        <w:ind w:left="4320" w:hanging="180"/>
      </w:pPr>
    </w:lvl>
    <w:lvl w:ilvl="6" w:tplc="2B1A012C" w:tentative="1">
      <w:start w:val="1"/>
      <w:numFmt w:val="decimal"/>
      <w:lvlText w:val="%7."/>
      <w:lvlJc w:val="left"/>
      <w:pPr>
        <w:tabs>
          <w:tab w:val="num" w:pos="5040"/>
        </w:tabs>
        <w:ind w:left="5040" w:hanging="360"/>
      </w:pPr>
    </w:lvl>
    <w:lvl w:ilvl="7" w:tplc="43A8153A" w:tentative="1">
      <w:start w:val="1"/>
      <w:numFmt w:val="lowerLetter"/>
      <w:lvlText w:val="%8."/>
      <w:lvlJc w:val="left"/>
      <w:pPr>
        <w:tabs>
          <w:tab w:val="num" w:pos="5760"/>
        </w:tabs>
        <w:ind w:left="5760" w:hanging="360"/>
      </w:pPr>
    </w:lvl>
    <w:lvl w:ilvl="8" w:tplc="B300AD66" w:tentative="1">
      <w:start w:val="1"/>
      <w:numFmt w:val="lowerRoman"/>
      <w:lvlText w:val="%9."/>
      <w:lvlJc w:val="right"/>
      <w:pPr>
        <w:tabs>
          <w:tab w:val="num" w:pos="6480"/>
        </w:tabs>
        <w:ind w:left="6480" w:hanging="180"/>
      </w:pPr>
    </w:lvl>
  </w:abstractNum>
  <w:abstractNum w:abstractNumId="40">
    <w:nsid w:val="6C9426BC"/>
    <w:multiLevelType w:val="hybridMultilevel"/>
    <w:tmpl w:val="F7E0D49C"/>
    <w:lvl w:ilvl="0" w:tplc="4A26004C">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D354C51C" w:tentative="1">
      <w:start w:val="1"/>
      <w:numFmt w:val="bullet"/>
      <w:lvlText w:val="o"/>
      <w:lvlJc w:val="left"/>
      <w:pPr>
        <w:tabs>
          <w:tab w:val="num" w:pos="1440"/>
        </w:tabs>
        <w:ind w:left="1440" w:hanging="360"/>
      </w:pPr>
      <w:rPr>
        <w:rFonts w:ascii="Courier New" w:hAnsi="Courier New" w:cs="Courier New" w:hint="default"/>
      </w:rPr>
    </w:lvl>
    <w:lvl w:ilvl="2" w:tplc="37BC7304" w:tentative="1">
      <w:start w:val="1"/>
      <w:numFmt w:val="bullet"/>
      <w:lvlText w:val=""/>
      <w:lvlJc w:val="left"/>
      <w:pPr>
        <w:tabs>
          <w:tab w:val="num" w:pos="2160"/>
        </w:tabs>
        <w:ind w:left="2160" w:hanging="360"/>
      </w:pPr>
      <w:rPr>
        <w:rFonts w:ascii="Wingdings" w:hAnsi="Wingdings" w:hint="default"/>
      </w:rPr>
    </w:lvl>
    <w:lvl w:ilvl="3" w:tplc="D376DBA4" w:tentative="1">
      <w:start w:val="1"/>
      <w:numFmt w:val="bullet"/>
      <w:lvlText w:val=""/>
      <w:lvlJc w:val="left"/>
      <w:pPr>
        <w:tabs>
          <w:tab w:val="num" w:pos="2880"/>
        </w:tabs>
        <w:ind w:left="2880" w:hanging="360"/>
      </w:pPr>
      <w:rPr>
        <w:rFonts w:ascii="Symbol" w:hAnsi="Symbol" w:hint="default"/>
      </w:rPr>
    </w:lvl>
    <w:lvl w:ilvl="4" w:tplc="DBF022B2" w:tentative="1">
      <w:start w:val="1"/>
      <w:numFmt w:val="bullet"/>
      <w:lvlText w:val="o"/>
      <w:lvlJc w:val="left"/>
      <w:pPr>
        <w:tabs>
          <w:tab w:val="num" w:pos="3600"/>
        </w:tabs>
        <w:ind w:left="3600" w:hanging="360"/>
      </w:pPr>
      <w:rPr>
        <w:rFonts w:ascii="Courier New" w:hAnsi="Courier New" w:cs="Courier New" w:hint="default"/>
      </w:rPr>
    </w:lvl>
    <w:lvl w:ilvl="5" w:tplc="588C5A2E" w:tentative="1">
      <w:start w:val="1"/>
      <w:numFmt w:val="bullet"/>
      <w:lvlText w:val=""/>
      <w:lvlJc w:val="left"/>
      <w:pPr>
        <w:tabs>
          <w:tab w:val="num" w:pos="4320"/>
        </w:tabs>
        <w:ind w:left="4320" w:hanging="360"/>
      </w:pPr>
      <w:rPr>
        <w:rFonts w:ascii="Wingdings" w:hAnsi="Wingdings" w:hint="default"/>
      </w:rPr>
    </w:lvl>
    <w:lvl w:ilvl="6" w:tplc="E8E8A8D2" w:tentative="1">
      <w:start w:val="1"/>
      <w:numFmt w:val="bullet"/>
      <w:lvlText w:val=""/>
      <w:lvlJc w:val="left"/>
      <w:pPr>
        <w:tabs>
          <w:tab w:val="num" w:pos="5040"/>
        </w:tabs>
        <w:ind w:left="5040" w:hanging="360"/>
      </w:pPr>
      <w:rPr>
        <w:rFonts w:ascii="Symbol" w:hAnsi="Symbol" w:hint="default"/>
      </w:rPr>
    </w:lvl>
    <w:lvl w:ilvl="7" w:tplc="F9D640CA" w:tentative="1">
      <w:start w:val="1"/>
      <w:numFmt w:val="bullet"/>
      <w:lvlText w:val="o"/>
      <w:lvlJc w:val="left"/>
      <w:pPr>
        <w:tabs>
          <w:tab w:val="num" w:pos="5760"/>
        </w:tabs>
        <w:ind w:left="5760" w:hanging="360"/>
      </w:pPr>
      <w:rPr>
        <w:rFonts w:ascii="Courier New" w:hAnsi="Courier New" w:cs="Courier New" w:hint="default"/>
      </w:rPr>
    </w:lvl>
    <w:lvl w:ilvl="8" w:tplc="11F2F080" w:tentative="1">
      <w:start w:val="1"/>
      <w:numFmt w:val="bullet"/>
      <w:lvlText w:val=""/>
      <w:lvlJc w:val="left"/>
      <w:pPr>
        <w:tabs>
          <w:tab w:val="num" w:pos="6480"/>
        </w:tabs>
        <w:ind w:left="6480" w:hanging="360"/>
      </w:pPr>
      <w:rPr>
        <w:rFonts w:ascii="Wingdings" w:hAnsi="Wingdings" w:hint="default"/>
      </w:rPr>
    </w:lvl>
  </w:abstractNum>
  <w:abstractNum w:abstractNumId="41">
    <w:nsid w:val="6E55026A"/>
    <w:multiLevelType w:val="hybridMultilevel"/>
    <w:tmpl w:val="9A02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E97B64"/>
    <w:multiLevelType w:val="hybridMultilevel"/>
    <w:tmpl w:val="E0C46C20"/>
    <w:lvl w:ilvl="0" w:tplc="0C09000F">
      <w:start w:val="1"/>
      <w:numFmt w:val="bullet"/>
      <w:pStyle w:val="SeekCommentBullet"/>
      <w:lvlText w:val="–"/>
      <w:lvlJc w:val="left"/>
      <w:pPr>
        <w:tabs>
          <w:tab w:val="num" w:pos="709"/>
        </w:tabs>
        <w:ind w:left="709" w:hanging="284"/>
      </w:pPr>
      <w:rPr>
        <w:rFonts w:ascii="Myriad Pro" w:hAnsi="Myriad Pro" w:hint="default"/>
        <w:color w:val="auto"/>
        <w:spacing w:val="0"/>
        <w:w w:val="100"/>
        <w:position w:val="0"/>
        <w:sz w:val="21"/>
        <w:szCs w:val="21"/>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3">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44">
    <w:nsid w:val="72AD2E7B"/>
    <w:multiLevelType w:val="hybridMultilevel"/>
    <w:tmpl w:val="E32A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6">
    <w:nsid w:val="764F0D6C"/>
    <w:multiLevelType w:val="hybridMultilevel"/>
    <w:tmpl w:val="93BC0B16"/>
    <w:lvl w:ilvl="0" w:tplc="BA328E96">
      <w:start w:val="1"/>
      <w:numFmt w:val="decimal"/>
      <w:pStyle w:val="FindingNumber"/>
      <w:lvlText w:val="%1"/>
      <w:lvlJc w:val="left"/>
      <w:pPr>
        <w:tabs>
          <w:tab w:val="num" w:pos="425"/>
        </w:tabs>
        <w:ind w:left="425" w:hanging="425"/>
      </w:pPr>
      <w:rPr>
        <w:rFonts w:hint="default"/>
      </w:rPr>
    </w:lvl>
    <w:lvl w:ilvl="1" w:tplc="9FC4BD6C">
      <w:start w:val="1"/>
      <w:numFmt w:val="lowerLetter"/>
      <w:lvlText w:val="%2."/>
      <w:lvlJc w:val="left"/>
      <w:pPr>
        <w:tabs>
          <w:tab w:val="num" w:pos="1440"/>
        </w:tabs>
        <w:ind w:left="1440" w:hanging="360"/>
      </w:pPr>
    </w:lvl>
    <w:lvl w:ilvl="2" w:tplc="90F21FBA" w:tentative="1">
      <w:start w:val="1"/>
      <w:numFmt w:val="lowerRoman"/>
      <w:lvlText w:val="%3."/>
      <w:lvlJc w:val="right"/>
      <w:pPr>
        <w:tabs>
          <w:tab w:val="num" w:pos="2160"/>
        </w:tabs>
        <w:ind w:left="2160" w:hanging="180"/>
      </w:pPr>
    </w:lvl>
    <w:lvl w:ilvl="3" w:tplc="AE965C64" w:tentative="1">
      <w:start w:val="1"/>
      <w:numFmt w:val="decimal"/>
      <w:lvlText w:val="%4."/>
      <w:lvlJc w:val="left"/>
      <w:pPr>
        <w:tabs>
          <w:tab w:val="num" w:pos="2880"/>
        </w:tabs>
        <w:ind w:left="2880" w:hanging="360"/>
      </w:pPr>
    </w:lvl>
    <w:lvl w:ilvl="4" w:tplc="C9F444AC" w:tentative="1">
      <w:start w:val="1"/>
      <w:numFmt w:val="lowerLetter"/>
      <w:lvlText w:val="%5."/>
      <w:lvlJc w:val="left"/>
      <w:pPr>
        <w:tabs>
          <w:tab w:val="num" w:pos="3600"/>
        </w:tabs>
        <w:ind w:left="3600" w:hanging="360"/>
      </w:pPr>
    </w:lvl>
    <w:lvl w:ilvl="5" w:tplc="D6C01F54" w:tentative="1">
      <w:start w:val="1"/>
      <w:numFmt w:val="lowerRoman"/>
      <w:lvlText w:val="%6."/>
      <w:lvlJc w:val="right"/>
      <w:pPr>
        <w:tabs>
          <w:tab w:val="num" w:pos="4320"/>
        </w:tabs>
        <w:ind w:left="4320" w:hanging="180"/>
      </w:pPr>
    </w:lvl>
    <w:lvl w:ilvl="6" w:tplc="46B2710E" w:tentative="1">
      <w:start w:val="1"/>
      <w:numFmt w:val="decimal"/>
      <w:lvlText w:val="%7."/>
      <w:lvlJc w:val="left"/>
      <w:pPr>
        <w:tabs>
          <w:tab w:val="num" w:pos="5040"/>
        </w:tabs>
        <w:ind w:left="5040" w:hanging="360"/>
      </w:pPr>
    </w:lvl>
    <w:lvl w:ilvl="7" w:tplc="B210A722" w:tentative="1">
      <w:start w:val="1"/>
      <w:numFmt w:val="lowerLetter"/>
      <w:lvlText w:val="%8."/>
      <w:lvlJc w:val="left"/>
      <w:pPr>
        <w:tabs>
          <w:tab w:val="num" w:pos="5760"/>
        </w:tabs>
        <w:ind w:left="5760" w:hanging="360"/>
      </w:pPr>
    </w:lvl>
    <w:lvl w:ilvl="8" w:tplc="6F3CB148" w:tentative="1">
      <w:start w:val="1"/>
      <w:numFmt w:val="lowerRoman"/>
      <w:lvlText w:val="%9."/>
      <w:lvlJc w:val="right"/>
      <w:pPr>
        <w:tabs>
          <w:tab w:val="num" w:pos="6480"/>
        </w:tabs>
        <w:ind w:left="6480" w:hanging="180"/>
      </w:pPr>
    </w:lvl>
  </w:abstractNum>
  <w:abstractNum w:abstractNumId="47">
    <w:nsid w:val="77E5682F"/>
    <w:multiLevelType w:val="hybridMultilevel"/>
    <w:tmpl w:val="31946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B330F8"/>
    <w:multiLevelType w:val="multilevel"/>
    <w:tmpl w:val="077C72C4"/>
    <w:lvl w:ilvl="0">
      <w:start w:val="1"/>
      <w:numFmt w:val="bullet"/>
      <w:pStyle w:val="BulletL1"/>
      <w:lvlText w:val="●"/>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ulletL2"/>
      <w:lvlText w:val="○"/>
      <w:lvlJc w:val="left"/>
      <w:pPr>
        <w:ind w:left="568" w:hanging="284"/>
      </w:pPr>
      <w:rPr>
        <w:rFonts w:ascii="Arial" w:hAnsi="Arial" w:cs="Arial" w:hint="default"/>
      </w:rPr>
    </w:lvl>
    <w:lvl w:ilvl="2">
      <w:start w:val="1"/>
      <w:numFmt w:val="bullet"/>
      <w:pStyle w:val="BulletL3"/>
      <w:lvlText w:val="•"/>
      <w:lvlJc w:val="left"/>
      <w:pPr>
        <w:ind w:left="852" w:hanging="284"/>
      </w:pPr>
      <w:rPr>
        <w:rFonts w:ascii="Arial" w:hAnsi="Arial" w:cs="Times New Roman"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Calibri" w:hAnsi="Calibri" w:hint="default"/>
      </w:rPr>
    </w:lvl>
  </w:abstractNum>
  <w:abstractNum w:abstractNumId="49">
    <w:nsid w:val="7E084E7D"/>
    <w:multiLevelType w:val="hybridMultilevel"/>
    <w:tmpl w:val="B9466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E460FD6"/>
    <w:multiLevelType w:val="hybridMultilevel"/>
    <w:tmpl w:val="64C0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45"/>
  </w:num>
  <w:num w:numId="4">
    <w:abstractNumId w:val="17"/>
  </w:num>
  <w:num w:numId="5">
    <w:abstractNumId w:val="32"/>
  </w:num>
  <w:num w:numId="6">
    <w:abstractNumId w:val="33"/>
  </w:num>
  <w:num w:numId="7">
    <w:abstractNumId w:val="26"/>
  </w:num>
  <w:num w:numId="8">
    <w:abstractNumId w:val="3"/>
  </w:num>
  <w:num w:numId="9">
    <w:abstractNumId w:val="0"/>
  </w:num>
  <w:num w:numId="10">
    <w:abstractNumId w:val="4"/>
  </w:num>
  <w:num w:numId="11">
    <w:abstractNumId w:val="18"/>
  </w:num>
  <w:num w:numId="12">
    <w:abstractNumId w:val="38"/>
  </w:num>
  <w:num w:numId="13">
    <w:abstractNumId w:val="14"/>
  </w:num>
  <w:num w:numId="14">
    <w:abstractNumId w:val="43"/>
  </w:num>
  <w:num w:numId="15">
    <w:abstractNumId w:val="31"/>
  </w:num>
  <w:num w:numId="16">
    <w:abstractNumId w:val="39"/>
  </w:num>
  <w:num w:numId="17">
    <w:abstractNumId w:val="42"/>
  </w:num>
  <w:num w:numId="18">
    <w:abstractNumId w:val="34"/>
  </w:num>
  <w:num w:numId="19">
    <w:abstractNumId w:val="22"/>
  </w:num>
  <w:num w:numId="20">
    <w:abstractNumId w:val="12"/>
  </w:num>
  <w:num w:numId="21">
    <w:abstractNumId w:val="2"/>
  </w:num>
  <w:num w:numId="22">
    <w:abstractNumId w:val="46"/>
  </w:num>
  <w:num w:numId="23">
    <w:abstractNumId w:val="15"/>
  </w:num>
  <w:num w:numId="24">
    <w:abstractNumId w:val="40"/>
  </w:num>
  <w:num w:numId="25">
    <w:abstractNumId w:val="1"/>
  </w:num>
  <w:num w:numId="26">
    <w:abstractNumId w:val="5"/>
  </w:num>
  <w:num w:numId="27">
    <w:abstractNumId w:val="29"/>
  </w:num>
  <w:num w:numId="28">
    <w:abstractNumId w:val="49"/>
  </w:num>
  <w:num w:numId="29">
    <w:abstractNumId w:val="19"/>
  </w:num>
  <w:num w:numId="30">
    <w:abstractNumId w:val="24"/>
  </w:num>
  <w:num w:numId="31">
    <w:abstractNumId w:val="28"/>
  </w:num>
  <w:num w:numId="32">
    <w:abstractNumId w:val="20"/>
  </w:num>
  <w:num w:numId="33">
    <w:abstractNumId w:val="35"/>
  </w:num>
  <w:num w:numId="34">
    <w:abstractNumId w:val="6"/>
  </w:num>
  <w:num w:numId="35">
    <w:abstractNumId w:val="41"/>
  </w:num>
  <w:num w:numId="36">
    <w:abstractNumId w:val="37"/>
  </w:num>
  <w:num w:numId="37">
    <w:abstractNumId w:val="9"/>
  </w:num>
  <w:num w:numId="38">
    <w:abstractNumId w:val="27"/>
  </w:num>
  <w:num w:numId="39">
    <w:abstractNumId w:val="13"/>
  </w:num>
  <w:num w:numId="40">
    <w:abstractNumId w:val="10"/>
  </w:num>
  <w:num w:numId="41">
    <w:abstractNumId w:val="21"/>
  </w:num>
  <w:num w:numId="42">
    <w:abstractNumId w:val="44"/>
  </w:num>
  <w:num w:numId="43">
    <w:abstractNumId w:val="7"/>
  </w:num>
  <w:num w:numId="44">
    <w:abstractNumId w:val="16"/>
  </w:num>
  <w:num w:numId="45">
    <w:abstractNumId w:val="50"/>
  </w:num>
  <w:num w:numId="46">
    <w:abstractNumId w:val="48"/>
  </w:num>
  <w:num w:numId="47">
    <w:abstractNumId w:val="23"/>
  </w:num>
  <w:num w:numId="48">
    <w:abstractNumId w:val="25"/>
  </w:num>
  <w:num w:numId="49">
    <w:abstractNumId w:val="11"/>
  </w:num>
  <w:num w:numId="50">
    <w:abstractNumId w:val="30"/>
  </w:num>
  <w:num w:numId="51">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drawingGridHorizontalSpacing w:val="120"/>
  <w:displayHorizontalDrawingGridEvery w:val="2"/>
  <w:displayVerticalDrawingGridEvery w:val="2"/>
  <w:noPunctuationKerning/>
  <w:characterSpacingControl w:val="doNotCompress"/>
  <w:hdrShapeDefaults>
    <o:shapedefaults v:ext="edit" spidmax="4097">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62"/>
    <w:rsid w:val="00000125"/>
    <w:rsid w:val="00002BF5"/>
    <w:rsid w:val="000045CC"/>
    <w:rsid w:val="0000569B"/>
    <w:rsid w:val="00006FE5"/>
    <w:rsid w:val="00010DFB"/>
    <w:rsid w:val="00010F3F"/>
    <w:rsid w:val="00012DAC"/>
    <w:rsid w:val="000137B0"/>
    <w:rsid w:val="0001426D"/>
    <w:rsid w:val="0001482D"/>
    <w:rsid w:val="00015181"/>
    <w:rsid w:val="00015FBF"/>
    <w:rsid w:val="00016E8B"/>
    <w:rsid w:val="000175AF"/>
    <w:rsid w:val="000176A3"/>
    <w:rsid w:val="000217C3"/>
    <w:rsid w:val="000217CF"/>
    <w:rsid w:val="0002202A"/>
    <w:rsid w:val="00022210"/>
    <w:rsid w:val="00022BD0"/>
    <w:rsid w:val="00023450"/>
    <w:rsid w:val="00023A7F"/>
    <w:rsid w:val="00025AC3"/>
    <w:rsid w:val="00025B09"/>
    <w:rsid w:val="00025BD5"/>
    <w:rsid w:val="00025DC4"/>
    <w:rsid w:val="000267A5"/>
    <w:rsid w:val="0002747D"/>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3702A"/>
    <w:rsid w:val="00037858"/>
    <w:rsid w:val="00040067"/>
    <w:rsid w:val="00040071"/>
    <w:rsid w:val="0004033D"/>
    <w:rsid w:val="000403F0"/>
    <w:rsid w:val="00040D73"/>
    <w:rsid w:val="00040E7E"/>
    <w:rsid w:val="0004182E"/>
    <w:rsid w:val="00041BF1"/>
    <w:rsid w:val="000422CF"/>
    <w:rsid w:val="00042642"/>
    <w:rsid w:val="0004319E"/>
    <w:rsid w:val="000431EA"/>
    <w:rsid w:val="00043470"/>
    <w:rsid w:val="00043C44"/>
    <w:rsid w:val="0004466D"/>
    <w:rsid w:val="00044894"/>
    <w:rsid w:val="00044A5D"/>
    <w:rsid w:val="00044D9D"/>
    <w:rsid w:val="00045034"/>
    <w:rsid w:val="00045465"/>
    <w:rsid w:val="00045940"/>
    <w:rsid w:val="0004651B"/>
    <w:rsid w:val="000506D7"/>
    <w:rsid w:val="0005255C"/>
    <w:rsid w:val="00052573"/>
    <w:rsid w:val="00052E3D"/>
    <w:rsid w:val="000545B7"/>
    <w:rsid w:val="00054E84"/>
    <w:rsid w:val="00056E9F"/>
    <w:rsid w:val="0005753A"/>
    <w:rsid w:val="00061640"/>
    <w:rsid w:val="00062097"/>
    <w:rsid w:val="00062F94"/>
    <w:rsid w:val="000663B9"/>
    <w:rsid w:val="00066802"/>
    <w:rsid w:val="00067EDB"/>
    <w:rsid w:val="00070F98"/>
    <w:rsid w:val="00071781"/>
    <w:rsid w:val="00071C4B"/>
    <w:rsid w:val="00072225"/>
    <w:rsid w:val="000724CE"/>
    <w:rsid w:val="000726AD"/>
    <w:rsid w:val="00074732"/>
    <w:rsid w:val="00074FF3"/>
    <w:rsid w:val="00075FAE"/>
    <w:rsid w:val="00076170"/>
    <w:rsid w:val="00080A0D"/>
    <w:rsid w:val="00080C0C"/>
    <w:rsid w:val="00080FAA"/>
    <w:rsid w:val="0008142F"/>
    <w:rsid w:val="00082B7D"/>
    <w:rsid w:val="000837B1"/>
    <w:rsid w:val="00083981"/>
    <w:rsid w:val="00083DFB"/>
    <w:rsid w:val="00084C27"/>
    <w:rsid w:val="0008607A"/>
    <w:rsid w:val="00086785"/>
    <w:rsid w:val="00087085"/>
    <w:rsid w:val="00087B22"/>
    <w:rsid w:val="000900DD"/>
    <w:rsid w:val="000908F7"/>
    <w:rsid w:val="000911CB"/>
    <w:rsid w:val="00091B6D"/>
    <w:rsid w:val="00091E17"/>
    <w:rsid w:val="00092202"/>
    <w:rsid w:val="000923B0"/>
    <w:rsid w:val="0009293B"/>
    <w:rsid w:val="000931B6"/>
    <w:rsid w:val="00093C70"/>
    <w:rsid w:val="00093D97"/>
    <w:rsid w:val="00095136"/>
    <w:rsid w:val="000959F9"/>
    <w:rsid w:val="00095AD7"/>
    <w:rsid w:val="00095AEE"/>
    <w:rsid w:val="00096059"/>
    <w:rsid w:val="0009614B"/>
    <w:rsid w:val="00096446"/>
    <w:rsid w:val="00096B6D"/>
    <w:rsid w:val="00097BA8"/>
    <w:rsid w:val="00097C19"/>
    <w:rsid w:val="000A098A"/>
    <w:rsid w:val="000A0ADB"/>
    <w:rsid w:val="000A15B4"/>
    <w:rsid w:val="000A2779"/>
    <w:rsid w:val="000A36BB"/>
    <w:rsid w:val="000A4EC8"/>
    <w:rsid w:val="000A6066"/>
    <w:rsid w:val="000A61BC"/>
    <w:rsid w:val="000A7044"/>
    <w:rsid w:val="000A75CF"/>
    <w:rsid w:val="000B0371"/>
    <w:rsid w:val="000B09AD"/>
    <w:rsid w:val="000B2645"/>
    <w:rsid w:val="000B2BE0"/>
    <w:rsid w:val="000B3B42"/>
    <w:rsid w:val="000B42C6"/>
    <w:rsid w:val="000B52B5"/>
    <w:rsid w:val="000B625B"/>
    <w:rsid w:val="000B7098"/>
    <w:rsid w:val="000B7275"/>
    <w:rsid w:val="000C0040"/>
    <w:rsid w:val="000C133A"/>
    <w:rsid w:val="000C149B"/>
    <w:rsid w:val="000C160F"/>
    <w:rsid w:val="000C173E"/>
    <w:rsid w:val="000C2A89"/>
    <w:rsid w:val="000C2CFB"/>
    <w:rsid w:val="000C5003"/>
    <w:rsid w:val="000C5088"/>
    <w:rsid w:val="000C56D8"/>
    <w:rsid w:val="000C5A0A"/>
    <w:rsid w:val="000C5C5D"/>
    <w:rsid w:val="000C6947"/>
    <w:rsid w:val="000C6A86"/>
    <w:rsid w:val="000C6B85"/>
    <w:rsid w:val="000C6C1C"/>
    <w:rsid w:val="000C6C52"/>
    <w:rsid w:val="000C6E1E"/>
    <w:rsid w:val="000C764F"/>
    <w:rsid w:val="000D0F58"/>
    <w:rsid w:val="000D1CDA"/>
    <w:rsid w:val="000D3037"/>
    <w:rsid w:val="000D3119"/>
    <w:rsid w:val="000D4393"/>
    <w:rsid w:val="000D43A0"/>
    <w:rsid w:val="000D607D"/>
    <w:rsid w:val="000D6C56"/>
    <w:rsid w:val="000D7935"/>
    <w:rsid w:val="000D7EAF"/>
    <w:rsid w:val="000E0537"/>
    <w:rsid w:val="000E13A0"/>
    <w:rsid w:val="000E20ED"/>
    <w:rsid w:val="000E235A"/>
    <w:rsid w:val="000E239A"/>
    <w:rsid w:val="000E2B50"/>
    <w:rsid w:val="000E2D53"/>
    <w:rsid w:val="000E3170"/>
    <w:rsid w:val="000E3415"/>
    <w:rsid w:val="000E4F4A"/>
    <w:rsid w:val="000E54FD"/>
    <w:rsid w:val="000E574E"/>
    <w:rsid w:val="000E58D5"/>
    <w:rsid w:val="000F0620"/>
    <w:rsid w:val="000F1C3C"/>
    <w:rsid w:val="000F1CB2"/>
    <w:rsid w:val="000F2EDF"/>
    <w:rsid w:val="000F30C1"/>
    <w:rsid w:val="000F35C2"/>
    <w:rsid w:val="000F6371"/>
    <w:rsid w:val="000F6734"/>
    <w:rsid w:val="000F7B56"/>
    <w:rsid w:val="000F7E79"/>
    <w:rsid w:val="00102095"/>
    <w:rsid w:val="001022D7"/>
    <w:rsid w:val="00102ED1"/>
    <w:rsid w:val="001030CC"/>
    <w:rsid w:val="0010395A"/>
    <w:rsid w:val="00103BDC"/>
    <w:rsid w:val="00103C41"/>
    <w:rsid w:val="001040E8"/>
    <w:rsid w:val="00104B1C"/>
    <w:rsid w:val="00105263"/>
    <w:rsid w:val="00106ED8"/>
    <w:rsid w:val="00107051"/>
    <w:rsid w:val="0010773E"/>
    <w:rsid w:val="001112A9"/>
    <w:rsid w:val="00111516"/>
    <w:rsid w:val="00111CE6"/>
    <w:rsid w:val="0011235F"/>
    <w:rsid w:val="00112435"/>
    <w:rsid w:val="00112F1D"/>
    <w:rsid w:val="00113034"/>
    <w:rsid w:val="001136B7"/>
    <w:rsid w:val="00113C3F"/>
    <w:rsid w:val="00115AAE"/>
    <w:rsid w:val="0012034E"/>
    <w:rsid w:val="00120768"/>
    <w:rsid w:val="0012081E"/>
    <w:rsid w:val="00120B80"/>
    <w:rsid w:val="001217D5"/>
    <w:rsid w:val="001227FE"/>
    <w:rsid w:val="00123634"/>
    <w:rsid w:val="001254DC"/>
    <w:rsid w:val="0012560C"/>
    <w:rsid w:val="00126E5D"/>
    <w:rsid w:val="0012706C"/>
    <w:rsid w:val="0012731C"/>
    <w:rsid w:val="0012750E"/>
    <w:rsid w:val="001300C5"/>
    <w:rsid w:val="001313D8"/>
    <w:rsid w:val="00131AFC"/>
    <w:rsid w:val="00132FD9"/>
    <w:rsid w:val="00134738"/>
    <w:rsid w:val="0013634A"/>
    <w:rsid w:val="00136367"/>
    <w:rsid w:val="0013770D"/>
    <w:rsid w:val="00137844"/>
    <w:rsid w:val="00141454"/>
    <w:rsid w:val="0014176A"/>
    <w:rsid w:val="00142704"/>
    <w:rsid w:val="001428F5"/>
    <w:rsid w:val="00146479"/>
    <w:rsid w:val="001465B4"/>
    <w:rsid w:val="00147A36"/>
    <w:rsid w:val="00147C04"/>
    <w:rsid w:val="00147F71"/>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58C4"/>
    <w:rsid w:val="00165F97"/>
    <w:rsid w:val="0016644B"/>
    <w:rsid w:val="00166D38"/>
    <w:rsid w:val="00167056"/>
    <w:rsid w:val="00167E12"/>
    <w:rsid w:val="00170542"/>
    <w:rsid w:val="00170669"/>
    <w:rsid w:val="001710FF"/>
    <w:rsid w:val="00171A1B"/>
    <w:rsid w:val="00173FE7"/>
    <w:rsid w:val="001745B4"/>
    <w:rsid w:val="001746C8"/>
    <w:rsid w:val="00174DF4"/>
    <w:rsid w:val="00175214"/>
    <w:rsid w:val="00175BDF"/>
    <w:rsid w:val="0017654B"/>
    <w:rsid w:val="00176769"/>
    <w:rsid w:val="001774EA"/>
    <w:rsid w:val="001802CA"/>
    <w:rsid w:val="00180ACE"/>
    <w:rsid w:val="00180D49"/>
    <w:rsid w:val="001814D4"/>
    <w:rsid w:val="00181D9B"/>
    <w:rsid w:val="00181E1B"/>
    <w:rsid w:val="00182B6F"/>
    <w:rsid w:val="00182C9D"/>
    <w:rsid w:val="00183A57"/>
    <w:rsid w:val="00183E25"/>
    <w:rsid w:val="00184062"/>
    <w:rsid w:val="00184129"/>
    <w:rsid w:val="00184A21"/>
    <w:rsid w:val="00184D5D"/>
    <w:rsid w:val="00185737"/>
    <w:rsid w:val="00185DB8"/>
    <w:rsid w:val="00185ED6"/>
    <w:rsid w:val="00185FA7"/>
    <w:rsid w:val="001864B6"/>
    <w:rsid w:val="0018753B"/>
    <w:rsid w:val="0018761A"/>
    <w:rsid w:val="00187D9F"/>
    <w:rsid w:val="0019002E"/>
    <w:rsid w:val="001912B7"/>
    <w:rsid w:val="00191F92"/>
    <w:rsid w:val="001924A7"/>
    <w:rsid w:val="00192FA4"/>
    <w:rsid w:val="001932E1"/>
    <w:rsid w:val="00193756"/>
    <w:rsid w:val="00193F23"/>
    <w:rsid w:val="001941E1"/>
    <w:rsid w:val="00194797"/>
    <w:rsid w:val="0019552E"/>
    <w:rsid w:val="001964AE"/>
    <w:rsid w:val="00196755"/>
    <w:rsid w:val="0019704D"/>
    <w:rsid w:val="001976C9"/>
    <w:rsid w:val="001A0887"/>
    <w:rsid w:val="001A09FC"/>
    <w:rsid w:val="001A0CF0"/>
    <w:rsid w:val="001A0DD1"/>
    <w:rsid w:val="001A221A"/>
    <w:rsid w:val="001A2B46"/>
    <w:rsid w:val="001A3914"/>
    <w:rsid w:val="001A3A18"/>
    <w:rsid w:val="001A453B"/>
    <w:rsid w:val="001A5158"/>
    <w:rsid w:val="001A587E"/>
    <w:rsid w:val="001A5A28"/>
    <w:rsid w:val="001A5B8C"/>
    <w:rsid w:val="001A64C5"/>
    <w:rsid w:val="001A6711"/>
    <w:rsid w:val="001A6C01"/>
    <w:rsid w:val="001A722F"/>
    <w:rsid w:val="001A7D83"/>
    <w:rsid w:val="001B02DF"/>
    <w:rsid w:val="001B031F"/>
    <w:rsid w:val="001B03A8"/>
    <w:rsid w:val="001B106B"/>
    <w:rsid w:val="001B172F"/>
    <w:rsid w:val="001B2CCD"/>
    <w:rsid w:val="001B4B35"/>
    <w:rsid w:val="001B5050"/>
    <w:rsid w:val="001B5EE9"/>
    <w:rsid w:val="001B67FE"/>
    <w:rsid w:val="001B6961"/>
    <w:rsid w:val="001B74AF"/>
    <w:rsid w:val="001B7AC4"/>
    <w:rsid w:val="001C0CAF"/>
    <w:rsid w:val="001C0F16"/>
    <w:rsid w:val="001C2502"/>
    <w:rsid w:val="001C2864"/>
    <w:rsid w:val="001C643A"/>
    <w:rsid w:val="001C65D3"/>
    <w:rsid w:val="001C6B3C"/>
    <w:rsid w:val="001C7153"/>
    <w:rsid w:val="001C7906"/>
    <w:rsid w:val="001C7929"/>
    <w:rsid w:val="001C7FDC"/>
    <w:rsid w:val="001D1605"/>
    <w:rsid w:val="001D30AC"/>
    <w:rsid w:val="001D4118"/>
    <w:rsid w:val="001D61EA"/>
    <w:rsid w:val="001D6E59"/>
    <w:rsid w:val="001D7FF1"/>
    <w:rsid w:val="001E0BBF"/>
    <w:rsid w:val="001E0CD2"/>
    <w:rsid w:val="001E15A4"/>
    <w:rsid w:val="001E15EB"/>
    <w:rsid w:val="001E186C"/>
    <w:rsid w:val="001E2071"/>
    <w:rsid w:val="001E3591"/>
    <w:rsid w:val="001E4875"/>
    <w:rsid w:val="001E4F17"/>
    <w:rsid w:val="001E543C"/>
    <w:rsid w:val="001E5E46"/>
    <w:rsid w:val="001E6BD1"/>
    <w:rsid w:val="001E6E99"/>
    <w:rsid w:val="001E7392"/>
    <w:rsid w:val="001E7AF5"/>
    <w:rsid w:val="001E7D95"/>
    <w:rsid w:val="001F03B8"/>
    <w:rsid w:val="001F2310"/>
    <w:rsid w:val="001F23CC"/>
    <w:rsid w:val="001F276A"/>
    <w:rsid w:val="001F300B"/>
    <w:rsid w:val="001F304A"/>
    <w:rsid w:val="001F42BB"/>
    <w:rsid w:val="001F45C1"/>
    <w:rsid w:val="001F49B3"/>
    <w:rsid w:val="001F4BC3"/>
    <w:rsid w:val="001F58EA"/>
    <w:rsid w:val="001F598A"/>
    <w:rsid w:val="001F714A"/>
    <w:rsid w:val="001F7163"/>
    <w:rsid w:val="001F7A4E"/>
    <w:rsid w:val="002007AB"/>
    <w:rsid w:val="00200DBF"/>
    <w:rsid w:val="00201B1A"/>
    <w:rsid w:val="00201B70"/>
    <w:rsid w:val="00201F83"/>
    <w:rsid w:val="002022A3"/>
    <w:rsid w:val="0020273E"/>
    <w:rsid w:val="00202FFD"/>
    <w:rsid w:val="00203747"/>
    <w:rsid w:val="00204C41"/>
    <w:rsid w:val="00204E39"/>
    <w:rsid w:val="00205149"/>
    <w:rsid w:val="0020561B"/>
    <w:rsid w:val="00205A67"/>
    <w:rsid w:val="002067CC"/>
    <w:rsid w:val="00210F2B"/>
    <w:rsid w:val="00211568"/>
    <w:rsid w:val="0021182F"/>
    <w:rsid w:val="00212233"/>
    <w:rsid w:val="002127CE"/>
    <w:rsid w:val="00215030"/>
    <w:rsid w:val="0021564D"/>
    <w:rsid w:val="00215940"/>
    <w:rsid w:val="00216728"/>
    <w:rsid w:val="002179F2"/>
    <w:rsid w:val="00220A51"/>
    <w:rsid w:val="002225E8"/>
    <w:rsid w:val="002229F1"/>
    <w:rsid w:val="002231EC"/>
    <w:rsid w:val="0022426E"/>
    <w:rsid w:val="002246E6"/>
    <w:rsid w:val="00225437"/>
    <w:rsid w:val="002255E4"/>
    <w:rsid w:val="00226279"/>
    <w:rsid w:val="002262C3"/>
    <w:rsid w:val="00226B51"/>
    <w:rsid w:val="00230F45"/>
    <w:rsid w:val="00231BC8"/>
    <w:rsid w:val="002323F0"/>
    <w:rsid w:val="00232E0E"/>
    <w:rsid w:val="00234D6B"/>
    <w:rsid w:val="00235152"/>
    <w:rsid w:val="0023624C"/>
    <w:rsid w:val="00236509"/>
    <w:rsid w:val="00236CF1"/>
    <w:rsid w:val="0023733A"/>
    <w:rsid w:val="0024098C"/>
    <w:rsid w:val="0024122D"/>
    <w:rsid w:val="00241F66"/>
    <w:rsid w:val="00241F8D"/>
    <w:rsid w:val="00242171"/>
    <w:rsid w:val="00243E02"/>
    <w:rsid w:val="00244942"/>
    <w:rsid w:val="00244B7F"/>
    <w:rsid w:val="00244E36"/>
    <w:rsid w:val="002458DB"/>
    <w:rsid w:val="00245E21"/>
    <w:rsid w:val="002467AA"/>
    <w:rsid w:val="00246F27"/>
    <w:rsid w:val="002471EE"/>
    <w:rsid w:val="00247575"/>
    <w:rsid w:val="00247746"/>
    <w:rsid w:val="00247E84"/>
    <w:rsid w:val="00250872"/>
    <w:rsid w:val="002514A9"/>
    <w:rsid w:val="00252942"/>
    <w:rsid w:val="00252B8E"/>
    <w:rsid w:val="002534C8"/>
    <w:rsid w:val="00254E9D"/>
    <w:rsid w:val="0025575F"/>
    <w:rsid w:val="00256441"/>
    <w:rsid w:val="00257005"/>
    <w:rsid w:val="002607AB"/>
    <w:rsid w:val="00261612"/>
    <w:rsid w:val="00262E00"/>
    <w:rsid w:val="00263288"/>
    <w:rsid w:val="0026349D"/>
    <w:rsid w:val="002640CF"/>
    <w:rsid w:val="002649B0"/>
    <w:rsid w:val="002654CE"/>
    <w:rsid w:val="00265600"/>
    <w:rsid w:val="0026621F"/>
    <w:rsid w:val="002663F7"/>
    <w:rsid w:val="002665E4"/>
    <w:rsid w:val="002670D9"/>
    <w:rsid w:val="00270C79"/>
    <w:rsid w:val="00272485"/>
    <w:rsid w:val="002727B6"/>
    <w:rsid w:val="002729A6"/>
    <w:rsid w:val="0027394F"/>
    <w:rsid w:val="00273A77"/>
    <w:rsid w:val="00273A86"/>
    <w:rsid w:val="00276859"/>
    <w:rsid w:val="00276E1B"/>
    <w:rsid w:val="00276E97"/>
    <w:rsid w:val="00277375"/>
    <w:rsid w:val="00280232"/>
    <w:rsid w:val="00280844"/>
    <w:rsid w:val="00280DB5"/>
    <w:rsid w:val="0028119F"/>
    <w:rsid w:val="0028219B"/>
    <w:rsid w:val="002823FB"/>
    <w:rsid w:val="00283D2C"/>
    <w:rsid w:val="00283D57"/>
    <w:rsid w:val="00284597"/>
    <w:rsid w:val="002853C6"/>
    <w:rsid w:val="0028546C"/>
    <w:rsid w:val="002859FE"/>
    <w:rsid w:val="00286031"/>
    <w:rsid w:val="002861FA"/>
    <w:rsid w:val="00286518"/>
    <w:rsid w:val="0028670F"/>
    <w:rsid w:val="0028698E"/>
    <w:rsid w:val="00286F7C"/>
    <w:rsid w:val="00286FF2"/>
    <w:rsid w:val="002871ED"/>
    <w:rsid w:val="002901B3"/>
    <w:rsid w:val="00290417"/>
    <w:rsid w:val="0029041A"/>
    <w:rsid w:val="002912F9"/>
    <w:rsid w:val="002913F3"/>
    <w:rsid w:val="00292271"/>
    <w:rsid w:val="002924A2"/>
    <w:rsid w:val="00292732"/>
    <w:rsid w:val="00292CA9"/>
    <w:rsid w:val="00292F54"/>
    <w:rsid w:val="0029333B"/>
    <w:rsid w:val="00293409"/>
    <w:rsid w:val="00293432"/>
    <w:rsid w:val="00293955"/>
    <w:rsid w:val="00294530"/>
    <w:rsid w:val="00294951"/>
    <w:rsid w:val="00294C01"/>
    <w:rsid w:val="00295B2C"/>
    <w:rsid w:val="00296792"/>
    <w:rsid w:val="002974A9"/>
    <w:rsid w:val="00297BE5"/>
    <w:rsid w:val="002A018E"/>
    <w:rsid w:val="002A13B6"/>
    <w:rsid w:val="002A197D"/>
    <w:rsid w:val="002A198A"/>
    <w:rsid w:val="002A1B18"/>
    <w:rsid w:val="002A235A"/>
    <w:rsid w:val="002A338F"/>
    <w:rsid w:val="002A3459"/>
    <w:rsid w:val="002A38B3"/>
    <w:rsid w:val="002A3FA2"/>
    <w:rsid w:val="002A4721"/>
    <w:rsid w:val="002A4AEB"/>
    <w:rsid w:val="002A4F0D"/>
    <w:rsid w:val="002A56F2"/>
    <w:rsid w:val="002A5876"/>
    <w:rsid w:val="002A626C"/>
    <w:rsid w:val="002A6563"/>
    <w:rsid w:val="002A68CF"/>
    <w:rsid w:val="002A6B44"/>
    <w:rsid w:val="002B02E5"/>
    <w:rsid w:val="002B0463"/>
    <w:rsid w:val="002B083A"/>
    <w:rsid w:val="002B09D2"/>
    <w:rsid w:val="002B1735"/>
    <w:rsid w:val="002B2390"/>
    <w:rsid w:val="002B4A76"/>
    <w:rsid w:val="002B4BBD"/>
    <w:rsid w:val="002B5E3A"/>
    <w:rsid w:val="002B6903"/>
    <w:rsid w:val="002B715A"/>
    <w:rsid w:val="002B7DEE"/>
    <w:rsid w:val="002B7F88"/>
    <w:rsid w:val="002C16F0"/>
    <w:rsid w:val="002C3130"/>
    <w:rsid w:val="002C380F"/>
    <w:rsid w:val="002C3F78"/>
    <w:rsid w:val="002C4125"/>
    <w:rsid w:val="002C54BE"/>
    <w:rsid w:val="002C6409"/>
    <w:rsid w:val="002C7DF3"/>
    <w:rsid w:val="002D0732"/>
    <w:rsid w:val="002D10E0"/>
    <w:rsid w:val="002D219F"/>
    <w:rsid w:val="002D4C12"/>
    <w:rsid w:val="002D57D2"/>
    <w:rsid w:val="002D5AA1"/>
    <w:rsid w:val="002D6259"/>
    <w:rsid w:val="002D6263"/>
    <w:rsid w:val="002E09D9"/>
    <w:rsid w:val="002E118D"/>
    <w:rsid w:val="002E289D"/>
    <w:rsid w:val="002E4877"/>
    <w:rsid w:val="002E5D29"/>
    <w:rsid w:val="002E619B"/>
    <w:rsid w:val="002F09F9"/>
    <w:rsid w:val="002F0CA8"/>
    <w:rsid w:val="002F0FFE"/>
    <w:rsid w:val="002F1BA5"/>
    <w:rsid w:val="002F213C"/>
    <w:rsid w:val="002F25A3"/>
    <w:rsid w:val="002F407D"/>
    <w:rsid w:val="002F48DB"/>
    <w:rsid w:val="002F4997"/>
    <w:rsid w:val="002F5A02"/>
    <w:rsid w:val="002F7488"/>
    <w:rsid w:val="00300CAB"/>
    <w:rsid w:val="00300D44"/>
    <w:rsid w:val="00301526"/>
    <w:rsid w:val="00301EFD"/>
    <w:rsid w:val="00301F9E"/>
    <w:rsid w:val="003034D6"/>
    <w:rsid w:val="00303988"/>
    <w:rsid w:val="003039F2"/>
    <w:rsid w:val="0030466C"/>
    <w:rsid w:val="00304A7F"/>
    <w:rsid w:val="003058D3"/>
    <w:rsid w:val="003075FE"/>
    <w:rsid w:val="00310559"/>
    <w:rsid w:val="0031129C"/>
    <w:rsid w:val="00313F90"/>
    <w:rsid w:val="003142E5"/>
    <w:rsid w:val="00315699"/>
    <w:rsid w:val="0031624F"/>
    <w:rsid w:val="00316A5C"/>
    <w:rsid w:val="00316F2A"/>
    <w:rsid w:val="00317467"/>
    <w:rsid w:val="003174ED"/>
    <w:rsid w:val="00317FF9"/>
    <w:rsid w:val="0032025B"/>
    <w:rsid w:val="003202F0"/>
    <w:rsid w:val="0032108F"/>
    <w:rsid w:val="003212C9"/>
    <w:rsid w:val="0032160B"/>
    <w:rsid w:val="00321AF3"/>
    <w:rsid w:val="00322565"/>
    <w:rsid w:val="00323618"/>
    <w:rsid w:val="003237B3"/>
    <w:rsid w:val="003242C8"/>
    <w:rsid w:val="00324C3B"/>
    <w:rsid w:val="00324D55"/>
    <w:rsid w:val="003264BC"/>
    <w:rsid w:val="00326758"/>
    <w:rsid w:val="00327767"/>
    <w:rsid w:val="00330399"/>
    <w:rsid w:val="003304E2"/>
    <w:rsid w:val="003305C0"/>
    <w:rsid w:val="003308F6"/>
    <w:rsid w:val="00330E88"/>
    <w:rsid w:val="0033232F"/>
    <w:rsid w:val="0033394A"/>
    <w:rsid w:val="00333B0C"/>
    <w:rsid w:val="003346E3"/>
    <w:rsid w:val="003347B9"/>
    <w:rsid w:val="00334C6A"/>
    <w:rsid w:val="00334DFB"/>
    <w:rsid w:val="00334FA6"/>
    <w:rsid w:val="00334FF2"/>
    <w:rsid w:val="00335B3C"/>
    <w:rsid w:val="00335E36"/>
    <w:rsid w:val="00336BC7"/>
    <w:rsid w:val="0034021A"/>
    <w:rsid w:val="003408A0"/>
    <w:rsid w:val="003409BC"/>
    <w:rsid w:val="00341FA1"/>
    <w:rsid w:val="00342A57"/>
    <w:rsid w:val="00343268"/>
    <w:rsid w:val="003438E6"/>
    <w:rsid w:val="00343907"/>
    <w:rsid w:val="0034461D"/>
    <w:rsid w:val="0034496D"/>
    <w:rsid w:val="00344A38"/>
    <w:rsid w:val="003454D2"/>
    <w:rsid w:val="00345667"/>
    <w:rsid w:val="003459F4"/>
    <w:rsid w:val="0034744B"/>
    <w:rsid w:val="003515CF"/>
    <w:rsid w:val="00351FCB"/>
    <w:rsid w:val="00352DB3"/>
    <w:rsid w:val="0035304E"/>
    <w:rsid w:val="00353364"/>
    <w:rsid w:val="00353E2F"/>
    <w:rsid w:val="0035428F"/>
    <w:rsid w:val="00354710"/>
    <w:rsid w:val="00354717"/>
    <w:rsid w:val="00356AF6"/>
    <w:rsid w:val="003572DF"/>
    <w:rsid w:val="00357986"/>
    <w:rsid w:val="00360B62"/>
    <w:rsid w:val="0036140D"/>
    <w:rsid w:val="0036174A"/>
    <w:rsid w:val="0036222D"/>
    <w:rsid w:val="0036277A"/>
    <w:rsid w:val="00363FD4"/>
    <w:rsid w:val="003641CA"/>
    <w:rsid w:val="0036450A"/>
    <w:rsid w:val="003645D4"/>
    <w:rsid w:val="00364AC8"/>
    <w:rsid w:val="003653CD"/>
    <w:rsid w:val="0036603C"/>
    <w:rsid w:val="00366CB7"/>
    <w:rsid w:val="00367CA2"/>
    <w:rsid w:val="00370907"/>
    <w:rsid w:val="003711EB"/>
    <w:rsid w:val="00371908"/>
    <w:rsid w:val="00373D3D"/>
    <w:rsid w:val="00375A33"/>
    <w:rsid w:val="00375CFF"/>
    <w:rsid w:val="00375D6E"/>
    <w:rsid w:val="00376738"/>
    <w:rsid w:val="00376C25"/>
    <w:rsid w:val="00376EB4"/>
    <w:rsid w:val="00377703"/>
    <w:rsid w:val="00377948"/>
    <w:rsid w:val="00377ADB"/>
    <w:rsid w:val="0038003B"/>
    <w:rsid w:val="00380051"/>
    <w:rsid w:val="0038056C"/>
    <w:rsid w:val="00381FBC"/>
    <w:rsid w:val="003831DC"/>
    <w:rsid w:val="0038397D"/>
    <w:rsid w:val="003849E4"/>
    <w:rsid w:val="00385582"/>
    <w:rsid w:val="00385E19"/>
    <w:rsid w:val="003866CD"/>
    <w:rsid w:val="00386EF7"/>
    <w:rsid w:val="003906BB"/>
    <w:rsid w:val="00390FA2"/>
    <w:rsid w:val="00391207"/>
    <w:rsid w:val="0039252C"/>
    <w:rsid w:val="0039272A"/>
    <w:rsid w:val="003927AE"/>
    <w:rsid w:val="00392C1C"/>
    <w:rsid w:val="00392F59"/>
    <w:rsid w:val="003941AB"/>
    <w:rsid w:val="00394341"/>
    <w:rsid w:val="003943C9"/>
    <w:rsid w:val="003947D3"/>
    <w:rsid w:val="00395783"/>
    <w:rsid w:val="00397D69"/>
    <w:rsid w:val="003A086B"/>
    <w:rsid w:val="003A0ED6"/>
    <w:rsid w:val="003A10F1"/>
    <w:rsid w:val="003A1B3F"/>
    <w:rsid w:val="003A3CF8"/>
    <w:rsid w:val="003A3F16"/>
    <w:rsid w:val="003A4F2F"/>
    <w:rsid w:val="003A55FA"/>
    <w:rsid w:val="003A6192"/>
    <w:rsid w:val="003A783B"/>
    <w:rsid w:val="003A7C37"/>
    <w:rsid w:val="003B0E60"/>
    <w:rsid w:val="003B135D"/>
    <w:rsid w:val="003B185F"/>
    <w:rsid w:val="003B2122"/>
    <w:rsid w:val="003B2F4E"/>
    <w:rsid w:val="003B4013"/>
    <w:rsid w:val="003B4435"/>
    <w:rsid w:val="003B44FE"/>
    <w:rsid w:val="003B5560"/>
    <w:rsid w:val="003B5630"/>
    <w:rsid w:val="003B585F"/>
    <w:rsid w:val="003B5D52"/>
    <w:rsid w:val="003B5E34"/>
    <w:rsid w:val="003B67C0"/>
    <w:rsid w:val="003B6AC2"/>
    <w:rsid w:val="003B7091"/>
    <w:rsid w:val="003C1D10"/>
    <w:rsid w:val="003C23E4"/>
    <w:rsid w:val="003C24D6"/>
    <w:rsid w:val="003C26B6"/>
    <w:rsid w:val="003C2A66"/>
    <w:rsid w:val="003C2F20"/>
    <w:rsid w:val="003C472E"/>
    <w:rsid w:val="003C4C20"/>
    <w:rsid w:val="003C53D5"/>
    <w:rsid w:val="003C5DBB"/>
    <w:rsid w:val="003C6FCA"/>
    <w:rsid w:val="003D0338"/>
    <w:rsid w:val="003D0A9B"/>
    <w:rsid w:val="003D420A"/>
    <w:rsid w:val="003D434A"/>
    <w:rsid w:val="003D45F6"/>
    <w:rsid w:val="003D48D2"/>
    <w:rsid w:val="003D4E11"/>
    <w:rsid w:val="003D596C"/>
    <w:rsid w:val="003D63A6"/>
    <w:rsid w:val="003D712A"/>
    <w:rsid w:val="003D7BFF"/>
    <w:rsid w:val="003D7FDB"/>
    <w:rsid w:val="003E02D7"/>
    <w:rsid w:val="003E126A"/>
    <w:rsid w:val="003E1621"/>
    <w:rsid w:val="003E17E2"/>
    <w:rsid w:val="003E2C76"/>
    <w:rsid w:val="003E44F0"/>
    <w:rsid w:val="003E5001"/>
    <w:rsid w:val="003E52A3"/>
    <w:rsid w:val="003E595C"/>
    <w:rsid w:val="003E5A2C"/>
    <w:rsid w:val="003E5C2C"/>
    <w:rsid w:val="003E5FAA"/>
    <w:rsid w:val="003E686C"/>
    <w:rsid w:val="003F0149"/>
    <w:rsid w:val="003F1691"/>
    <w:rsid w:val="003F2158"/>
    <w:rsid w:val="003F2609"/>
    <w:rsid w:val="003F33FE"/>
    <w:rsid w:val="003F3593"/>
    <w:rsid w:val="003F3611"/>
    <w:rsid w:val="003F3C1F"/>
    <w:rsid w:val="003F462D"/>
    <w:rsid w:val="003F599F"/>
    <w:rsid w:val="003F6DD8"/>
    <w:rsid w:val="0040028D"/>
    <w:rsid w:val="004002C5"/>
    <w:rsid w:val="00400DDA"/>
    <w:rsid w:val="00401182"/>
    <w:rsid w:val="004011BD"/>
    <w:rsid w:val="00401A7F"/>
    <w:rsid w:val="00401E2B"/>
    <w:rsid w:val="0040204A"/>
    <w:rsid w:val="0040205D"/>
    <w:rsid w:val="004020B0"/>
    <w:rsid w:val="004025F5"/>
    <w:rsid w:val="0040261A"/>
    <w:rsid w:val="004035C8"/>
    <w:rsid w:val="00403631"/>
    <w:rsid w:val="00403F63"/>
    <w:rsid w:val="004044FE"/>
    <w:rsid w:val="00404F7A"/>
    <w:rsid w:val="0040656D"/>
    <w:rsid w:val="004065B1"/>
    <w:rsid w:val="0040670E"/>
    <w:rsid w:val="004074C0"/>
    <w:rsid w:val="00407863"/>
    <w:rsid w:val="0041033E"/>
    <w:rsid w:val="00410755"/>
    <w:rsid w:val="00410A8B"/>
    <w:rsid w:val="00411333"/>
    <w:rsid w:val="00415BB8"/>
    <w:rsid w:val="00415EE0"/>
    <w:rsid w:val="00420365"/>
    <w:rsid w:val="00420943"/>
    <w:rsid w:val="00421133"/>
    <w:rsid w:val="00421A11"/>
    <w:rsid w:val="004225E0"/>
    <w:rsid w:val="004226DB"/>
    <w:rsid w:val="004235D0"/>
    <w:rsid w:val="00423F03"/>
    <w:rsid w:val="0042406C"/>
    <w:rsid w:val="00424796"/>
    <w:rsid w:val="00424C96"/>
    <w:rsid w:val="004252E9"/>
    <w:rsid w:val="00425C6E"/>
    <w:rsid w:val="00426447"/>
    <w:rsid w:val="004266BD"/>
    <w:rsid w:val="00426981"/>
    <w:rsid w:val="0042760D"/>
    <w:rsid w:val="00432A0A"/>
    <w:rsid w:val="004337AB"/>
    <w:rsid w:val="00434108"/>
    <w:rsid w:val="00434CA6"/>
    <w:rsid w:val="00435B56"/>
    <w:rsid w:val="00435E6F"/>
    <w:rsid w:val="0043718B"/>
    <w:rsid w:val="00437259"/>
    <w:rsid w:val="00437342"/>
    <w:rsid w:val="004376FF"/>
    <w:rsid w:val="00437F57"/>
    <w:rsid w:val="004401AD"/>
    <w:rsid w:val="00440EEC"/>
    <w:rsid w:val="004418EE"/>
    <w:rsid w:val="0044223A"/>
    <w:rsid w:val="0044264D"/>
    <w:rsid w:val="00442A9F"/>
    <w:rsid w:val="00445BED"/>
    <w:rsid w:val="00445CAC"/>
    <w:rsid w:val="0044603A"/>
    <w:rsid w:val="00446DD8"/>
    <w:rsid w:val="00447241"/>
    <w:rsid w:val="004475F1"/>
    <w:rsid w:val="004478C8"/>
    <w:rsid w:val="004502E8"/>
    <w:rsid w:val="004509BC"/>
    <w:rsid w:val="00450F34"/>
    <w:rsid w:val="00451717"/>
    <w:rsid w:val="00451CB7"/>
    <w:rsid w:val="00451ED7"/>
    <w:rsid w:val="004520D1"/>
    <w:rsid w:val="004528BE"/>
    <w:rsid w:val="00452B26"/>
    <w:rsid w:val="004533B8"/>
    <w:rsid w:val="00453688"/>
    <w:rsid w:val="00453A21"/>
    <w:rsid w:val="00453FD0"/>
    <w:rsid w:val="00454C47"/>
    <w:rsid w:val="00455067"/>
    <w:rsid w:val="00455178"/>
    <w:rsid w:val="004554E7"/>
    <w:rsid w:val="00455976"/>
    <w:rsid w:val="004559C1"/>
    <w:rsid w:val="00456ABB"/>
    <w:rsid w:val="00457181"/>
    <w:rsid w:val="00457AAA"/>
    <w:rsid w:val="00460FCC"/>
    <w:rsid w:val="004615B7"/>
    <w:rsid w:val="00461CAE"/>
    <w:rsid w:val="00461DD4"/>
    <w:rsid w:val="00462431"/>
    <w:rsid w:val="00462A3C"/>
    <w:rsid w:val="00462B63"/>
    <w:rsid w:val="00462EAF"/>
    <w:rsid w:val="004630D3"/>
    <w:rsid w:val="004631AB"/>
    <w:rsid w:val="00463482"/>
    <w:rsid w:val="0046508F"/>
    <w:rsid w:val="00465BF0"/>
    <w:rsid w:val="0046615A"/>
    <w:rsid w:val="00466904"/>
    <w:rsid w:val="00466FDA"/>
    <w:rsid w:val="00470EAA"/>
    <w:rsid w:val="00471335"/>
    <w:rsid w:val="0047161E"/>
    <w:rsid w:val="00472269"/>
    <w:rsid w:val="00472335"/>
    <w:rsid w:val="00472674"/>
    <w:rsid w:val="004726F2"/>
    <w:rsid w:val="00472825"/>
    <w:rsid w:val="0047317E"/>
    <w:rsid w:val="004737F0"/>
    <w:rsid w:val="00474891"/>
    <w:rsid w:val="00475180"/>
    <w:rsid w:val="0047683B"/>
    <w:rsid w:val="00477880"/>
    <w:rsid w:val="00477AE4"/>
    <w:rsid w:val="0048021D"/>
    <w:rsid w:val="0048070C"/>
    <w:rsid w:val="00480F4C"/>
    <w:rsid w:val="00481511"/>
    <w:rsid w:val="0048268A"/>
    <w:rsid w:val="004829B9"/>
    <w:rsid w:val="00482AA5"/>
    <w:rsid w:val="00482EF2"/>
    <w:rsid w:val="004836C6"/>
    <w:rsid w:val="004849AF"/>
    <w:rsid w:val="00485216"/>
    <w:rsid w:val="004854BB"/>
    <w:rsid w:val="004856B2"/>
    <w:rsid w:val="00485712"/>
    <w:rsid w:val="0048630B"/>
    <w:rsid w:val="0048659C"/>
    <w:rsid w:val="00486667"/>
    <w:rsid w:val="004869C5"/>
    <w:rsid w:val="00486A7E"/>
    <w:rsid w:val="004871C5"/>
    <w:rsid w:val="004901FD"/>
    <w:rsid w:val="004902FC"/>
    <w:rsid w:val="00491069"/>
    <w:rsid w:val="004910D2"/>
    <w:rsid w:val="00492035"/>
    <w:rsid w:val="00492052"/>
    <w:rsid w:val="00492307"/>
    <w:rsid w:val="0049273F"/>
    <w:rsid w:val="00492CAA"/>
    <w:rsid w:val="00493081"/>
    <w:rsid w:val="00493377"/>
    <w:rsid w:val="00493C48"/>
    <w:rsid w:val="00493F3C"/>
    <w:rsid w:val="00493FBD"/>
    <w:rsid w:val="0049632B"/>
    <w:rsid w:val="004972F7"/>
    <w:rsid w:val="00497D9B"/>
    <w:rsid w:val="00497F19"/>
    <w:rsid w:val="004A21E3"/>
    <w:rsid w:val="004A2427"/>
    <w:rsid w:val="004A32E2"/>
    <w:rsid w:val="004A37F5"/>
    <w:rsid w:val="004A3E4B"/>
    <w:rsid w:val="004A5434"/>
    <w:rsid w:val="004A56B1"/>
    <w:rsid w:val="004A615D"/>
    <w:rsid w:val="004A61AF"/>
    <w:rsid w:val="004B03E8"/>
    <w:rsid w:val="004B0E0B"/>
    <w:rsid w:val="004B1D3F"/>
    <w:rsid w:val="004B2DC6"/>
    <w:rsid w:val="004B36A1"/>
    <w:rsid w:val="004B3897"/>
    <w:rsid w:val="004B3FC4"/>
    <w:rsid w:val="004B4E54"/>
    <w:rsid w:val="004B5174"/>
    <w:rsid w:val="004B6431"/>
    <w:rsid w:val="004B74FD"/>
    <w:rsid w:val="004B75D2"/>
    <w:rsid w:val="004B75E8"/>
    <w:rsid w:val="004C0029"/>
    <w:rsid w:val="004C0A7C"/>
    <w:rsid w:val="004C0CD8"/>
    <w:rsid w:val="004C0D1D"/>
    <w:rsid w:val="004C1DB4"/>
    <w:rsid w:val="004C1F95"/>
    <w:rsid w:val="004C2353"/>
    <w:rsid w:val="004C23D6"/>
    <w:rsid w:val="004C298F"/>
    <w:rsid w:val="004C2B33"/>
    <w:rsid w:val="004C3AD8"/>
    <w:rsid w:val="004C3F7C"/>
    <w:rsid w:val="004C43D2"/>
    <w:rsid w:val="004C58DC"/>
    <w:rsid w:val="004C61E5"/>
    <w:rsid w:val="004C7CAE"/>
    <w:rsid w:val="004D091E"/>
    <w:rsid w:val="004D18D8"/>
    <w:rsid w:val="004D268F"/>
    <w:rsid w:val="004D2A2E"/>
    <w:rsid w:val="004D2BF8"/>
    <w:rsid w:val="004D3A54"/>
    <w:rsid w:val="004D43B1"/>
    <w:rsid w:val="004D4D97"/>
    <w:rsid w:val="004D50DA"/>
    <w:rsid w:val="004D51AC"/>
    <w:rsid w:val="004D557E"/>
    <w:rsid w:val="004D59C3"/>
    <w:rsid w:val="004D6A3C"/>
    <w:rsid w:val="004D7189"/>
    <w:rsid w:val="004D7E97"/>
    <w:rsid w:val="004E0619"/>
    <w:rsid w:val="004E070B"/>
    <w:rsid w:val="004E0F36"/>
    <w:rsid w:val="004E16CE"/>
    <w:rsid w:val="004E17DF"/>
    <w:rsid w:val="004E192E"/>
    <w:rsid w:val="004E1B82"/>
    <w:rsid w:val="004E2875"/>
    <w:rsid w:val="004E2E07"/>
    <w:rsid w:val="004E30F2"/>
    <w:rsid w:val="004E3373"/>
    <w:rsid w:val="004E3A6B"/>
    <w:rsid w:val="004E3CC9"/>
    <w:rsid w:val="004E49CD"/>
    <w:rsid w:val="004E4EF4"/>
    <w:rsid w:val="004E50A5"/>
    <w:rsid w:val="004E56D6"/>
    <w:rsid w:val="004E6E36"/>
    <w:rsid w:val="004F07DC"/>
    <w:rsid w:val="004F157C"/>
    <w:rsid w:val="004F3067"/>
    <w:rsid w:val="004F33AA"/>
    <w:rsid w:val="004F34F2"/>
    <w:rsid w:val="004F376A"/>
    <w:rsid w:val="004F54ED"/>
    <w:rsid w:val="004F5589"/>
    <w:rsid w:val="004F5666"/>
    <w:rsid w:val="004F5CD2"/>
    <w:rsid w:val="004F6630"/>
    <w:rsid w:val="004F6B20"/>
    <w:rsid w:val="004F713F"/>
    <w:rsid w:val="004F72B7"/>
    <w:rsid w:val="004F7E47"/>
    <w:rsid w:val="00502F86"/>
    <w:rsid w:val="005032DA"/>
    <w:rsid w:val="00504781"/>
    <w:rsid w:val="00504B5B"/>
    <w:rsid w:val="00504E5E"/>
    <w:rsid w:val="00505813"/>
    <w:rsid w:val="00505A9D"/>
    <w:rsid w:val="00507FCD"/>
    <w:rsid w:val="00510DF6"/>
    <w:rsid w:val="00511D17"/>
    <w:rsid w:val="005131BB"/>
    <w:rsid w:val="005151E5"/>
    <w:rsid w:val="00517377"/>
    <w:rsid w:val="005173A7"/>
    <w:rsid w:val="00517DE2"/>
    <w:rsid w:val="0052071C"/>
    <w:rsid w:val="005212DB"/>
    <w:rsid w:val="00521411"/>
    <w:rsid w:val="00521DCF"/>
    <w:rsid w:val="00522539"/>
    <w:rsid w:val="005233F4"/>
    <w:rsid w:val="00523CAB"/>
    <w:rsid w:val="00524750"/>
    <w:rsid w:val="005248D2"/>
    <w:rsid w:val="00525B8C"/>
    <w:rsid w:val="00525F75"/>
    <w:rsid w:val="00526567"/>
    <w:rsid w:val="00526A90"/>
    <w:rsid w:val="00526E73"/>
    <w:rsid w:val="00527426"/>
    <w:rsid w:val="005319D9"/>
    <w:rsid w:val="00532374"/>
    <w:rsid w:val="00532A19"/>
    <w:rsid w:val="00532AEB"/>
    <w:rsid w:val="005337B7"/>
    <w:rsid w:val="00533B0A"/>
    <w:rsid w:val="00533E29"/>
    <w:rsid w:val="00533F7A"/>
    <w:rsid w:val="00534710"/>
    <w:rsid w:val="005351F4"/>
    <w:rsid w:val="00535B25"/>
    <w:rsid w:val="005366F0"/>
    <w:rsid w:val="00536DDB"/>
    <w:rsid w:val="005378DE"/>
    <w:rsid w:val="00537D42"/>
    <w:rsid w:val="005409B5"/>
    <w:rsid w:val="00542154"/>
    <w:rsid w:val="0054274D"/>
    <w:rsid w:val="005430CC"/>
    <w:rsid w:val="00543236"/>
    <w:rsid w:val="00543638"/>
    <w:rsid w:val="00544012"/>
    <w:rsid w:val="0054429B"/>
    <w:rsid w:val="005449C0"/>
    <w:rsid w:val="00544B38"/>
    <w:rsid w:val="00544D2E"/>
    <w:rsid w:val="00545DDF"/>
    <w:rsid w:val="00545FD5"/>
    <w:rsid w:val="005461F8"/>
    <w:rsid w:val="0054664C"/>
    <w:rsid w:val="005466B3"/>
    <w:rsid w:val="0054766F"/>
    <w:rsid w:val="00547B70"/>
    <w:rsid w:val="00550721"/>
    <w:rsid w:val="00550D42"/>
    <w:rsid w:val="00551056"/>
    <w:rsid w:val="005512F7"/>
    <w:rsid w:val="00552511"/>
    <w:rsid w:val="00552856"/>
    <w:rsid w:val="00552B7B"/>
    <w:rsid w:val="00552C86"/>
    <w:rsid w:val="00554243"/>
    <w:rsid w:val="005544B6"/>
    <w:rsid w:val="00555B04"/>
    <w:rsid w:val="00555F22"/>
    <w:rsid w:val="0055720D"/>
    <w:rsid w:val="00557838"/>
    <w:rsid w:val="0056092E"/>
    <w:rsid w:val="005612CE"/>
    <w:rsid w:val="0056197F"/>
    <w:rsid w:val="005626B5"/>
    <w:rsid w:val="0056310C"/>
    <w:rsid w:val="00563151"/>
    <w:rsid w:val="00563195"/>
    <w:rsid w:val="00563BD7"/>
    <w:rsid w:val="005641BA"/>
    <w:rsid w:val="005646CB"/>
    <w:rsid w:val="00564F1A"/>
    <w:rsid w:val="00565031"/>
    <w:rsid w:val="005652A9"/>
    <w:rsid w:val="0056675F"/>
    <w:rsid w:val="00567666"/>
    <w:rsid w:val="00567765"/>
    <w:rsid w:val="00567ED2"/>
    <w:rsid w:val="00570465"/>
    <w:rsid w:val="00570C0F"/>
    <w:rsid w:val="0057164B"/>
    <w:rsid w:val="005721F5"/>
    <w:rsid w:val="00572938"/>
    <w:rsid w:val="005733C8"/>
    <w:rsid w:val="005736C3"/>
    <w:rsid w:val="00574C14"/>
    <w:rsid w:val="00575749"/>
    <w:rsid w:val="005757A4"/>
    <w:rsid w:val="005759E1"/>
    <w:rsid w:val="00576C73"/>
    <w:rsid w:val="0057731C"/>
    <w:rsid w:val="00577788"/>
    <w:rsid w:val="005779CE"/>
    <w:rsid w:val="00577A0B"/>
    <w:rsid w:val="00580F24"/>
    <w:rsid w:val="00581017"/>
    <w:rsid w:val="00581666"/>
    <w:rsid w:val="00581D64"/>
    <w:rsid w:val="00581D89"/>
    <w:rsid w:val="00581D9B"/>
    <w:rsid w:val="00581FAD"/>
    <w:rsid w:val="00582102"/>
    <w:rsid w:val="005821B7"/>
    <w:rsid w:val="00584155"/>
    <w:rsid w:val="00584A9E"/>
    <w:rsid w:val="00584E76"/>
    <w:rsid w:val="0058508F"/>
    <w:rsid w:val="005858DB"/>
    <w:rsid w:val="00586639"/>
    <w:rsid w:val="00590250"/>
    <w:rsid w:val="00590377"/>
    <w:rsid w:val="00590D14"/>
    <w:rsid w:val="00590E7E"/>
    <w:rsid w:val="00591256"/>
    <w:rsid w:val="00591A27"/>
    <w:rsid w:val="0059262C"/>
    <w:rsid w:val="00592A32"/>
    <w:rsid w:val="00593887"/>
    <w:rsid w:val="00593FBA"/>
    <w:rsid w:val="005949D1"/>
    <w:rsid w:val="00596106"/>
    <w:rsid w:val="0059674A"/>
    <w:rsid w:val="00597421"/>
    <w:rsid w:val="005975C4"/>
    <w:rsid w:val="00597ABB"/>
    <w:rsid w:val="005A0483"/>
    <w:rsid w:val="005A1B33"/>
    <w:rsid w:val="005A2716"/>
    <w:rsid w:val="005A2CFC"/>
    <w:rsid w:val="005A3222"/>
    <w:rsid w:val="005A34EC"/>
    <w:rsid w:val="005A5219"/>
    <w:rsid w:val="005A6A84"/>
    <w:rsid w:val="005A720A"/>
    <w:rsid w:val="005A7730"/>
    <w:rsid w:val="005A7A47"/>
    <w:rsid w:val="005A7AC9"/>
    <w:rsid w:val="005B0928"/>
    <w:rsid w:val="005B0B7C"/>
    <w:rsid w:val="005B0BC7"/>
    <w:rsid w:val="005B1972"/>
    <w:rsid w:val="005B24E3"/>
    <w:rsid w:val="005B2795"/>
    <w:rsid w:val="005B2BB5"/>
    <w:rsid w:val="005B3116"/>
    <w:rsid w:val="005B35E0"/>
    <w:rsid w:val="005B4560"/>
    <w:rsid w:val="005B4678"/>
    <w:rsid w:val="005B4B3E"/>
    <w:rsid w:val="005B55B2"/>
    <w:rsid w:val="005B5784"/>
    <w:rsid w:val="005B5D6D"/>
    <w:rsid w:val="005C159D"/>
    <w:rsid w:val="005C20BC"/>
    <w:rsid w:val="005C2B14"/>
    <w:rsid w:val="005C2DB7"/>
    <w:rsid w:val="005C2E40"/>
    <w:rsid w:val="005C36AD"/>
    <w:rsid w:val="005C4139"/>
    <w:rsid w:val="005C4709"/>
    <w:rsid w:val="005C4A4C"/>
    <w:rsid w:val="005C5228"/>
    <w:rsid w:val="005C5B9A"/>
    <w:rsid w:val="005C62A5"/>
    <w:rsid w:val="005C66CE"/>
    <w:rsid w:val="005C673E"/>
    <w:rsid w:val="005C6D1F"/>
    <w:rsid w:val="005C6EDD"/>
    <w:rsid w:val="005C7331"/>
    <w:rsid w:val="005C7F36"/>
    <w:rsid w:val="005D02F5"/>
    <w:rsid w:val="005D04AC"/>
    <w:rsid w:val="005D0561"/>
    <w:rsid w:val="005D1499"/>
    <w:rsid w:val="005D18C2"/>
    <w:rsid w:val="005D2822"/>
    <w:rsid w:val="005D2AD2"/>
    <w:rsid w:val="005D30F6"/>
    <w:rsid w:val="005D53DF"/>
    <w:rsid w:val="005D5A0C"/>
    <w:rsid w:val="005D6AFA"/>
    <w:rsid w:val="005D6F1C"/>
    <w:rsid w:val="005D7159"/>
    <w:rsid w:val="005D7488"/>
    <w:rsid w:val="005E07E7"/>
    <w:rsid w:val="005E09B2"/>
    <w:rsid w:val="005E0A62"/>
    <w:rsid w:val="005E1562"/>
    <w:rsid w:val="005E1DC1"/>
    <w:rsid w:val="005E2D3A"/>
    <w:rsid w:val="005E337C"/>
    <w:rsid w:val="005E38A6"/>
    <w:rsid w:val="005E4CE0"/>
    <w:rsid w:val="005E5082"/>
    <w:rsid w:val="005E5A9A"/>
    <w:rsid w:val="005E5B1F"/>
    <w:rsid w:val="005E646C"/>
    <w:rsid w:val="005E67A7"/>
    <w:rsid w:val="005E70CB"/>
    <w:rsid w:val="005E75AE"/>
    <w:rsid w:val="005F0063"/>
    <w:rsid w:val="005F0786"/>
    <w:rsid w:val="005F0843"/>
    <w:rsid w:val="005F240E"/>
    <w:rsid w:val="005F29FB"/>
    <w:rsid w:val="005F3CB3"/>
    <w:rsid w:val="005F484D"/>
    <w:rsid w:val="005F4D36"/>
    <w:rsid w:val="005F541B"/>
    <w:rsid w:val="005F5C81"/>
    <w:rsid w:val="005F5FB5"/>
    <w:rsid w:val="005F5FF8"/>
    <w:rsid w:val="005F691D"/>
    <w:rsid w:val="005F72FF"/>
    <w:rsid w:val="005F7F2D"/>
    <w:rsid w:val="00600518"/>
    <w:rsid w:val="00600721"/>
    <w:rsid w:val="00600883"/>
    <w:rsid w:val="00600EF9"/>
    <w:rsid w:val="006012A4"/>
    <w:rsid w:val="00602036"/>
    <w:rsid w:val="00603470"/>
    <w:rsid w:val="0060460A"/>
    <w:rsid w:val="00604C55"/>
    <w:rsid w:val="00604F3F"/>
    <w:rsid w:val="006064A4"/>
    <w:rsid w:val="006064F5"/>
    <w:rsid w:val="0061001C"/>
    <w:rsid w:val="0061083E"/>
    <w:rsid w:val="00610CCA"/>
    <w:rsid w:val="00610D80"/>
    <w:rsid w:val="00611FDB"/>
    <w:rsid w:val="00612248"/>
    <w:rsid w:val="00613898"/>
    <w:rsid w:val="00613926"/>
    <w:rsid w:val="00613BBD"/>
    <w:rsid w:val="00614461"/>
    <w:rsid w:val="00614779"/>
    <w:rsid w:val="00614796"/>
    <w:rsid w:val="00614C0A"/>
    <w:rsid w:val="00616931"/>
    <w:rsid w:val="006170A3"/>
    <w:rsid w:val="00617D4E"/>
    <w:rsid w:val="00620781"/>
    <w:rsid w:val="006208B9"/>
    <w:rsid w:val="00620C0F"/>
    <w:rsid w:val="006214F4"/>
    <w:rsid w:val="00622A1A"/>
    <w:rsid w:val="00623592"/>
    <w:rsid w:val="00625440"/>
    <w:rsid w:val="00626998"/>
    <w:rsid w:val="00626DF5"/>
    <w:rsid w:val="00633B46"/>
    <w:rsid w:val="00633BF9"/>
    <w:rsid w:val="00634312"/>
    <w:rsid w:val="0063476C"/>
    <w:rsid w:val="006348B4"/>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5BA5"/>
    <w:rsid w:val="00646350"/>
    <w:rsid w:val="00646493"/>
    <w:rsid w:val="006468BD"/>
    <w:rsid w:val="00647D1B"/>
    <w:rsid w:val="00650742"/>
    <w:rsid w:val="006510BD"/>
    <w:rsid w:val="00651C4C"/>
    <w:rsid w:val="00651EA8"/>
    <w:rsid w:val="00652AA7"/>
    <w:rsid w:val="006533D3"/>
    <w:rsid w:val="00653564"/>
    <w:rsid w:val="006537EF"/>
    <w:rsid w:val="00654FEE"/>
    <w:rsid w:val="006550AB"/>
    <w:rsid w:val="00655987"/>
    <w:rsid w:val="0065662A"/>
    <w:rsid w:val="00656D25"/>
    <w:rsid w:val="006570C3"/>
    <w:rsid w:val="00660B0A"/>
    <w:rsid w:val="006612F9"/>
    <w:rsid w:val="0066145C"/>
    <w:rsid w:val="00661752"/>
    <w:rsid w:val="00663024"/>
    <w:rsid w:val="00663B4D"/>
    <w:rsid w:val="00663EA3"/>
    <w:rsid w:val="00664E82"/>
    <w:rsid w:val="006674C9"/>
    <w:rsid w:val="00667EA7"/>
    <w:rsid w:val="00670057"/>
    <w:rsid w:val="00670B72"/>
    <w:rsid w:val="00670E80"/>
    <w:rsid w:val="00671047"/>
    <w:rsid w:val="00671247"/>
    <w:rsid w:val="00671664"/>
    <w:rsid w:val="006717B7"/>
    <w:rsid w:val="00671B83"/>
    <w:rsid w:val="00672806"/>
    <w:rsid w:val="00673623"/>
    <w:rsid w:val="00674537"/>
    <w:rsid w:val="0067472F"/>
    <w:rsid w:val="006754AA"/>
    <w:rsid w:val="00675C91"/>
    <w:rsid w:val="00676190"/>
    <w:rsid w:val="006776E5"/>
    <w:rsid w:val="00677CB4"/>
    <w:rsid w:val="006802B4"/>
    <w:rsid w:val="0068100A"/>
    <w:rsid w:val="00681201"/>
    <w:rsid w:val="006816E3"/>
    <w:rsid w:val="0068280D"/>
    <w:rsid w:val="00682DC0"/>
    <w:rsid w:val="006852F6"/>
    <w:rsid w:val="006857CF"/>
    <w:rsid w:val="00686008"/>
    <w:rsid w:val="0068609A"/>
    <w:rsid w:val="00686F5D"/>
    <w:rsid w:val="0069016A"/>
    <w:rsid w:val="00690C20"/>
    <w:rsid w:val="00690D29"/>
    <w:rsid w:val="00691B8E"/>
    <w:rsid w:val="00692CF5"/>
    <w:rsid w:val="00695BC5"/>
    <w:rsid w:val="006965F9"/>
    <w:rsid w:val="006966A2"/>
    <w:rsid w:val="00696740"/>
    <w:rsid w:val="00696C9F"/>
    <w:rsid w:val="006A0EF3"/>
    <w:rsid w:val="006A21AC"/>
    <w:rsid w:val="006A2594"/>
    <w:rsid w:val="006A26EC"/>
    <w:rsid w:val="006A3D3D"/>
    <w:rsid w:val="006A3D66"/>
    <w:rsid w:val="006A4E2A"/>
    <w:rsid w:val="006A5E21"/>
    <w:rsid w:val="006A6F2B"/>
    <w:rsid w:val="006A760C"/>
    <w:rsid w:val="006B0666"/>
    <w:rsid w:val="006B1220"/>
    <w:rsid w:val="006B2B79"/>
    <w:rsid w:val="006B35BA"/>
    <w:rsid w:val="006B35EB"/>
    <w:rsid w:val="006B3BD3"/>
    <w:rsid w:val="006B56C5"/>
    <w:rsid w:val="006B6B37"/>
    <w:rsid w:val="006B7189"/>
    <w:rsid w:val="006B7843"/>
    <w:rsid w:val="006B7912"/>
    <w:rsid w:val="006B7C58"/>
    <w:rsid w:val="006B7D86"/>
    <w:rsid w:val="006C014B"/>
    <w:rsid w:val="006C01C9"/>
    <w:rsid w:val="006C0ADD"/>
    <w:rsid w:val="006C0D51"/>
    <w:rsid w:val="006C0D76"/>
    <w:rsid w:val="006C1411"/>
    <w:rsid w:val="006C1E29"/>
    <w:rsid w:val="006C3E1E"/>
    <w:rsid w:val="006C49CB"/>
    <w:rsid w:val="006C4E05"/>
    <w:rsid w:val="006C5646"/>
    <w:rsid w:val="006C6534"/>
    <w:rsid w:val="006C6787"/>
    <w:rsid w:val="006D1BCD"/>
    <w:rsid w:val="006D1DFA"/>
    <w:rsid w:val="006D212F"/>
    <w:rsid w:val="006D2AB8"/>
    <w:rsid w:val="006D2C16"/>
    <w:rsid w:val="006D3018"/>
    <w:rsid w:val="006D35C8"/>
    <w:rsid w:val="006D3815"/>
    <w:rsid w:val="006D3FC0"/>
    <w:rsid w:val="006D4BB9"/>
    <w:rsid w:val="006D5363"/>
    <w:rsid w:val="006D6869"/>
    <w:rsid w:val="006D74B2"/>
    <w:rsid w:val="006D76B3"/>
    <w:rsid w:val="006D7DE8"/>
    <w:rsid w:val="006E005E"/>
    <w:rsid w:val="006E05ED"/>
    <w:rsid w:val="006E0B80"/>
    <w:rsid w:val="006E14B3"/>
    <w:rsid w:val="006E19EE"/>
    <w:rsid w:val="006E1FA3"/>
    <w:rsid w:val="006E2099"/>
    <w:rsid w:val="006E21E1"/>
    <w:rsid w:val="006E2D6E"/>
    <w:rsid w:val="006E2F57"/>
    <w:rsid w:val="006E3542"/>
    <w:rsid w:val="006E5C5D"/>
    <w:rsid w:val="006E62A7"/>
    <w:rsid w:val="006E67B6"/>
    <w:rsid w:val="006E70A3"/>
    <w:rsid w:val="006E714D"/>
    <w:rsid w:val="006E71EE"/>
    <w:rsid w:val="006E72E1"/>
    <w:rsid w:val="006F0042"/>
    <w:rsid w:val="006F1129"/>
    <w:rsid w:val="006F2256"/>
    <w:rsid w:val="006F23A3"/>
    <w:rsid w:val="006F2C8E"/>
    <w:rsid w:val="006F39FB"/>
    <w:rsid w:val="006F48A1"/>
    <w:rsid w:val="006F550F"/>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53F9"/>
    <w:rsid w:val="007061F3"/>
    <w:rsid w:val="0070764D"/>
    <w:rsid w:val="00707AE5"/>
    <w:rsid w:val="007104C4"/>
    <w:rsid w:val="00710EF1"/>
    <w:rsid w:val="00711315"/>
    <w:rsid w:val="00711455"/>
    <w:rsid w:val="0071404C"/>
    <w:rsid w:val="007148D9"/>
    <w:rsid w:val="007153BD"/>
    <w:rsid w:val="0071637E"/>
    <w:rsid w:val="00716E6E"/>
    <w:rsid w:val="00717639"/>
    <w:rsid w:val="00717F8C"/>
    <w:rsid w:val="00720449"/>
    <w:rsid w:val="00721229"/>
    <w:rsid w:val="00721561"/>
    <w:rsid w:val="007220A2"/>
    <w:rsid w:val="0072299D"/>
    <w:rsid w:val="0072383C"/>
    <w:rsid w:val="007300A2"/>
    <w:rsid w:val="007330F6"/>
    <w:rsid w:val="00733F64"/>
    <w:rsid w:val="00734CEC"/>
    <w:rsid w:val="007369E2"/>
    <w:rsid w:val="00736FA9"/>
    <w:rsid w:val="0073702F"/>
    <w:rsid w:val="00737DED"/>
    <w:rsid w:val="0074149C"/>
    <w:rsid w:val="00741FD4"/>
    <w:rsid w:val="00743069"/>
    <w:rsid w:val="00743161"/>
    <w:rsid w:val="007435AB"/>
    <w:rsid w:val="00743CDA"/>
    <w:rsid w:val="007455E1"/>
    <w:rsid w:val="0074636E"/>
    <w:rsid w:val="00746B24"/>
    <w:rsid w:val="007470FB"/>
    <w:rsid w:val="007503FA"/>
    <w:rsid w:val="00750432"/>
    <w:rsid w:val="00751312"/>
    <w:rsid w:val="00751384"/>
    <w:rsid w:val="007541E6"/>
    <w:rsid w:val="00755266"/>
    <w:rsid w:val="00755808"/>
    <w:rsid w:val="0075590C"/>
    <w:rsid w:val="00756ACA"/>
    <w:rsid w:val="0075734A"/>
    <w:rsid w:val="007601FA"/>
    <w:rsid w:val="007606CB"/>
    <w:rsid w:val="00761EC0"/>
    <w:rsid w:val="00763058"/>
    <w:rsid w:val="00763253"/>
    <w:rsid w:val="00763644"/>
    <w:rsid w:val="00764351"/>
    <w:rsid w:val="00764596"/>
    <w:rsid w:val="007653A3"/>
    <w:rsid w:val="0076571E"/>
    <w:rsid w:val="00765BF4"/>
    <w:rsid w:val="00765FDD"/>
    <w:rsid w:val="00766985"/>
    <w:rsid w:val="007704C1"/>
    <w:rsid w:val="00770B81"/>
    <w:rsid w:val="00770EDC"/>
    <w:rsid w:val="00771EFF"/>
    <w:rsid w:val="0077212B"/>
    <w:rsid w:val="007724A4"/>
    <w:rsid w:val="0077323B"/>
    <w:rsid w:val="00774664"/>
    <w:rsid w:val="007750C1"/>
    <w:rsid w:val="00775B04"/>
    <w:rsid w:val="00776322"/>
    <w:rsid w:val="00776C5A"/>
    <w:rsid w:val="00776EF1"/>
    <w:rsid w:val="00777BAE"/>
    <w:rsid w:val="00777CE5"/>
    <w:rsid w:val="00780286"/>
    <w:rsid w:val="00780314"/>
    <w:rsid w:val="00780892"/>
    <w:rsid w:val="00780970"/>
    <w:rsid w:val="00780FE9"/>
    <w:rsid w:val="007838BA"/>
    <w:rsid w:val="00786C06"/>
    <w:rsid w:val="0078774B"/>
    <w:rsid w:val="00787993"/>
    <w:rsid w:val="00790875"/>
    <w:rsid w:val="00790DC7"/>
    <w:rsid w:val="0079119B"/>
    <w:rsid w:val="00791E32"/>
    <w:rsid w:val="00792DD0"/>
    <w:rsid w:val="00793450"/>
    <w:rsid w:val="007939B4"/>
    <w:rsid w:val="00794A63"/>
    <w:rsid w:val="00795AE0"/>
    <w:rsid w:val="00795F48"/>
    <w:rsid w:val="00797E91"/>
    <w:rsid w:val="00797FB6"/>
    <w:rsid w:val="007A02E1"/>
    <w:rsid w:val="007A1046"/>
    <w:rsid w:val="007A1D4B"/>
    <w:rsid w:val="007A30A5"/>
    <w:rsid w:val="007A42B5"/>
    <w:rsid w:val="007A4B45"/>
    <w:rsid w:val="007A639D"/>
    <w:rsid w:val="007A6751"/>
    <w:rsid w:val="007A6CD0"/>
    <w:rsid w:val="007A72DD"/>
    <w:rsid w:val="007B05DD"/>
    <w:rsid w:val="007B0D22"/>
    <w:rsid w:val="007B0FFE"/>
    <w:rsid w:val="007B1568"/>
    <w:rsid w:val="007B2BCF"/>
    <w:rsid w:val="007B2E71"/>
    <w:rsid w:val="007B37DB"/>
    <w:rsid w:val="007B3F06"/>
    <w:rsid w:val="007B565A"/>
    <w:rsid w:val="007B5AE2"/>
    <w:rsid w:val="007B693C"/>
    <w:rsid w:val="007B6C07"/>
    <w:rsid w:val="007B7442"/>
    <w:rsid w:val="007B77CB"/>
    <w:rsid w:val="007C0163"/>
    <w:rsid w:val="007C0DF6"/>
    <w:rsid w:val="007C1710"/>
    <w:rsid w:val="007C1B1A"/>
    <w:rsid w:val="007C2227"/>
    <w:rsid w:val="007C3133"/>
    <w:rsid w:val="007C365A"/>
    <w:rsid w:val="007C3D3F"/>
    <w:rsid w:val="007C3F5C"/>
    <w:rsid w:val="007C4C31"/>
    <w:rsid w:val="007C50D9"/>
    <w:rsid w:val="007C5A4D"/>
    <w:rsid w:val="007C610B"/>
    <w:rsid w:val="007C7740"/>
    <w:rsid w:val="007C7884"/>
    <w:rsid w:val="007C7941"/>
    <w:rsid w:val="007D011B"/>
    <w:rsid w:val="007D2829"/>
    <w:rsid w:val="007D3B6D"/>
    <w:rsid w:val="007D3D65"/>
    <w:rsid w:val="007D3DB2"/>
    <w:rsid w:val="007D472D"/>
    <w:rsid w:val="007D4A3A"/>
    <w:rsid w:val="007D4EFB"/>
    <w:rsid w:val="007D50E4"/>
    <w:rsid w:val="007D5C9E"/>
    <w:rsid w:val="007D68AA"/>
    <w:rsid w:val="007D711F"/>
    <w:rsid w:val="007D73E6"/>
    <w:rsid w:val="007D75B0"/>
    <w:rsid w:val="007D7668"/>
    <w:rsid w:val="007E083F"/>
    <w:rsid w:val="007E0C33"/>
    <w:rsid w:val="007E1FDD"/>
    <w:rsid w:val="007E23AC"/>
    <w:rsid w:val="007E26FE"/>
    <w:rsid w:val="007E2D40"/>
    <w:rsid w:val="007E4281"/>
    <w:rsid w:val="007E42F2"/>
    <w:rsid w:val="007E47FA"/>
    <w:rsid w:val="007E5592"/>
    <w:rsid w:val="007E619A"/>
    <w:rsid w:val="007E670C"/>
    <w:rsid w:val="007E6A65"/>
    <w:rsid w:val="007E6DED"/>
    <w:rsid w:val="007E7658"/>
    <w:rsid w:val="007E7C3C"/>
    <w:rsid w:val="007F0374"/>
    <w:rsid w:val="007F03F0"/>
    <w:rsid w:val="007F2F7A"/>
    <w:rsid w:val="007F3395"/>
    <w:rsid w:val="007F4946"/>
    <w:rsid w:val="007F53DC"/>
    <w:rsid w:val="007F6C48"/>
    <w:rsid w:val="007F6D56"/>
    <w:rsid w:val="007F7809"/>
    <w:rsid w:val="00800AE8"/>
    <w:rsid w:val="00800B3F"/>
    <w:rsid w:val="00801511"/>
    <w:rsid w:val="00801BB0"/>
    <w:rsid w:val="008021B5"/>
    <w:rsid w:val="0080221F"/>
    <w:rsid w:val="0080231C"/>
    <w:rsid w:val="00802B94"/>
    <w:rsid w:val="00803187"/>
    <w:rsid w:val="008032B1"/>
    <w:rsid w:val="00803630"/>
    <w:rsid w:val="00803F98"/>
    <w:rsid w:val="00805404"/>
    <w:rsid w:val="0080601A"/>
    <w:rsid w:val="00807198"/>
    <w:rsid w:val="008071F9"/>
    <w:rsid w:val="00807967"/>
    <w:rsid w:val="00807C09"/>
    <w:rsid w:val="00807D4A"/>
    <w:rsid w:val="0081005D"/>
    <w:rsid w:val="00810F0D"/>
    <w:rsid w:val="00811AA7"/>
    <w:rsid w:val="00813194"/>
    <w:rsid w:val="008138CD"/>
    <w:rsid w:val="00813DBB"/>
    <w:rsid w:val="0081455B"/>
    <w:rsid w:val="00814E59"/>
    <w:rsid w:val="00814F91"/>
    <w:rsid w:val="00815631"/>
    <w:rsid w:val="008156FE"/>
    <w:rsid w:val="00816159"/>
    <w:rsid w:val="0081624C"/>
    <w:rsid w:val="008164CC"/>
    <w:rsid w:val="00816789"/>
    <w:rsid w:val="00816BF5"/>
    <w:rsid w:val="0082076B"/>
    <w:rsid w:val="0082090B"/>
    <w:rsid w:val="00820AD4"/>
    <w:rsid w:val="00820F30"/>
    <w:rsid w:val="00821594"/>
    <w:rsid w:val="0082177C"/>
    <w:rsid w:val="00821E42"/>
    <w:rsid w:val="00822536"/>
    <w:rsid w:val="0082264B"/>
    <w:rsid w:val="00822DD3"/>
    <w:rsid w:val="0082372B"/>
    <w:rsid w:val="00824753"/>
    <w:rsid w:val="00826756"/>
    <w:rsid w:val="00826945"/>
    <w:rsid w:val="00826DF2"/>
    <w:rsid w:val="00826F3A"/>
    <w:rsid w:val="008270D1"/>
    <w:rsid w:val="00827610"/>
    <w:rsid w:val="008278BF"/>
    <w:rsid w:val="00830BF5"/>
    <w:rsid w:val="00830ECF"/>
    <w:rsid w:val="008345F8"/>
    <w:rsid w:val="00834837"/>
    <w:rsid w:val="00834D7F"/>
    <w:rsid w:val="00834E38"/>
    <w:rsid w:val="008350D3"/>
    <w:rsid w:val="0083514D"/>
    <w:rsid w:val="00835605"/>
    <w:rsid w:val="0083587B"/>
    <w:rsid w:val="0083639D"/>
    <w:rsid w:val="00836856"/>
    <w:rsid w:val="00836CDD"/>
    <w:rsid w:val="00840627"/>
    <w:rsid w:val="00840BCF"/>
    <w:rsid w:val="00840D18"/>
    <w:rsid w:val="00840EA9"/>
    <w:rsid w:val="00841021"/>
    <w:rsid w:val="00841855"/>
    <w:rsid w:val="00843371"/>
    <w:rsid w:val="0084488D"/>
    <w:rsid w:val="00845204"/>
    <w:rsid w:val="00846501"/>
    <w:rsid w:val="00847C14"/>
    <w:rsid w:val="0085005E"/>
    <w:rsid w:val="00850AFD"/>
    <w:rsid w:val="00850B87"/>
    <w:rsid w:val="008510DE"/>
    <w:rsid w:val="00851329"/>
    <w:rsid w:val="0085136F"/>
    <w:rsid w:val="00851A2D"/>
    <w:rsid w:val="0085268C"/>
    <w:rsid w:val="008528A7"/>
    <w:rsid w:val="00852A49"/>
    <w:rsid w:val="00852DCC"/>
    <w:rsid w:val="00854D43"/>
    <w:rsid w:val="00855360"/>
    <w:rsid w:val="00856DD4"/>
    <w:rsid w:val="00856DDC"/>
    <w:rsid w:val="00856F75"/>
    <w:rsid w:val="00857031"/>
    <w:rsid w:val="0086034B"/>
    <w:rsid w:val="00860563"/>
    <w:rsid w:val="00860799"/>
    <w:rsid w:val="008619A4"/>
    <w:rsid w:val="008622CF"/>
    <w:rsid w:val="00863321"/>
    <w:rsid w:val="0086335D"/>
    <w:rsid w:val="0086338F"/>
    <w:rsid w:val="00864159"/>
    <w:rsid w:val="00864CCF"/>
    <w:rsid w:val="00864E00"/>
    <w:rsid w:val="00866144"/>
    <w:rsid w:val="00866F34"/>
    <w:rsid w:val="00866FCC"/>
    <w:rsid w:val="00867A48"/>
    <w:rsid w:val="00870CDE"/>
    <w:rsid w:val="0087102F"/>
    <w:rsid w:val="00872684"/>
    <w:rsid w:val="00872D69"/>
    <w:rsid w:val="00873055"/>
    <w:rsid w:val="008732E9"/>
    <w:rsid w:val="0087404D"/>
    <w:rsid w:val="00875E20"/>
    <w:rsid w:val="00875E61"/>
    <w:rsid w:val="008763DC"/>
    <w:rsid w:val="00876BE8"/>
    <w:rsid w:val="00876C11"/>
    <w:rsid w:val="00876C59"/>
    <w:rsid w:val="00876DDD"/>
    <w:rsid w:val="008771E2"/>
    <w:rsid w:val="008771F4"/>
    <w:rsid w:val="0087778E"/>
    <w:rsid w:val="008778A5"/>
    <w:rsid w:val="00880684"/>
    <w:rsid w:val="0088075E"/>
    <w:rsid w:val="008809F0"/>
    <w:rsid w:val="00881999"/>
    <w:rsid w:val="00881B55"/>
    <w:rsid w:val="00881BD4"/>
    <w:rsid w:val="00883532"/>
    <w:rsid w:val="008835A4"/>
    <w:rsid w:val="00885586"/>
    <w:rsid w:val="00885C64"/>
    <w:rsid w:val="008862B3"/>
    <w:rsid w:val="00890BE0"/>
    <w:rsid w:val="00890E9D"/>
    <w:rsid w:val="00891C78"/>
    <w:rsid w:val="008923D2"/>
    <w:rsid w:val="0089285F"/>
    <w:rsid w:val="008932B5"/>
    <w:rsid w:val="00893F1C"/>
    <w:rsid w:val="00895FD6"/>
    <w:rsid w:val="00896308"/>
    <w:rsid w:val="00897C0F"/>
    <w:rsid w:val="00897DA7"/>
    <w:rsid w:val="00897F4D"/>
    <w:rsid w:val="008A215E"/>
    <w:rsid w:val="008A297C"/>
    <w:rsid w:val="008A3965"/>
    <w:rsid w:val="008A3F44"/>
    <w:rsid w:val="008A437A"/>
    <w:rsid w:val="008A4F36"/>
    <w:rsid w:val="008A5284"/>
    <w:rsid w:val="008A66B6"/>
    <w:rsid w:val="008A6BDB"/>
    <w:rsid w:val="008A7548"/>
    <w:rsid w:val="008A771F"/>
    <w:rsid w:val="008A7C7E"/>
    <w:rsid w:val="008A7E0C"/>
    <w:rsid w:val="008B112B"/>
    <w:rsid w:val="008B1594"/>
    <w:rsid w:val="008B190E"/>
    <w:rsid w:val="008B1D5E"/>
    <w:rsid w:val="008B342E"/>
    <w:rsid w:val="008B53A4"/>
    <w:rsid w:val="008B53CB"/>
    <w:rsid w:val="008B7952"/>
    <w:rsid w:val="008C29F8"/>
    <w:rsid w:val="008C2BAC"/>
    <w:rsid w:val="008C2DB0"/>
    <w:rsid w:val="008C525A"/>
    <w:rsid w:val="008C5464"/>
    <w:rsid w:val="008C5C6E"/>
    <w:rsid w:val="008C6338"/>
    <w:rsid w:val="008C63EE"/>
    <w:rsid w:val="008C6884"/>
    <w:rsid w:val="008C6983"/>
    <w:rsid w:val="008C7773"/>
    <w:rsid w:val="008C79EE"/>
    <w:rsid w:val="008C7EC6"/>
    <w:rsid w:val="008D0396"/>
    <w:rsid w:val="008D043E"/>
    <w:rsid w:val="008D2141"/>
    <w:rsid w:val="008D3E7B"/>
    <w:rsid w:val="008D48ED"/>
    <w:rsid w:val="008D58F0"/>
    <w:rsid w:val="008D62AE"/>
    <w:rsid w:val="008D7235"/>
    <w:rsid w:val="008D7A13"/>
    <w:rsid w:val="008D7A70"/>
    <w:rsid w:val="008D7C80"/>
    <w:rsid w:val="008E1F7C"/>
    <w:rsid w:val="008E29DA"/>
    <w:rsid w:val="008E3BB8"/>
    <w:rsid w:val="008E3D6D"/>
    <w:rsid w:val="008E4B0E"/>
    <w:rsid w:val="008E6C67"/>
    <w:rsid w:val="008E73E3"/>
    <w:rsid w:val="008E7B33"/>
    <w:rsid w:val="008F026A"/>
    <w:rsid w:val="008F12F0"/>
    <w:rsid w:val="008F1636"/>
    <w:rsid w:val="008F1C6A"/>
    <w:rsid w:val="008F201C"/>
    <w:rsid w:val="008F3609"/>
    <w:rsid w:val="008F45E2"/>
    <w:rsid w:val="008F4821"/>
    <w:rsid w:val="008F499E"/>
    <w:rsid w:val="008F56DE"/>
    <w:rsid w:val="008F5C91"/>
    <w:rsid w:val="008F6489"/>
    <w:rsid w:val="008F67B6"/>
    <w:rsid w:val="008F6DF7"/>
    <w:rsid w:val="00900A6E"/>
    <w:rsid w:val="00900DB5"/>
    <w:rsid w:val="009015C7"/>
    <w:rsid w:val="00901685"/>
    <w:rsid w:val="00901E22"/>
    <w:rsid w:val="0090266C"/>
    <w:rsid w:val="00902D9C"/>
    <w:rsid w:val="00902DDD"/>
    <w:rsid w:val="00903E6E"/>
    <w:rsid w:val="00904FA2"/>
    <w:rsid w:val="00906223"/>
    <w:rsid w:val="009072A6"/>
    <w:rsid w:val="00907D32"/>
    <w:rsid w:val="009100AB"/>
    <w:rsid w:val="00911000"/>
    <w:rsid w:val="009117E6"/>
    <w:rsid w:val="00911EFF"/>
    <w:rsid w:val="009127DA"/>
    <w:rsid w:val="00912BA5"/>
    <w:rsid w:val="00912D09"/>
    <w:rsid w:val="00912F34"/>
    <w:rsid w:val="00913036"/>
    <w:rsid w:val="0091318F"/>
    <w:rsid w:val="00913262"/>
    <w:rsid w:val="0091406E"/>
    <w:rsid w:val="00914344"/>
    <w:rsid w:val="00914C33"/>
    <w:rsid w:val="00914D32"/>
    <w:rsid w:val="00914D6E"/>
    <w:rsid w:val="00915B89"/>
    <w:rsid w:val="00915DE3"/>
    <w:rsid w:val="0091686F"/>
    <w:rsid w:val="00916F92"/>
    <w:rsid w:val="00916FEE"/>
    <w:rsid w:val="009173B3"/>
    <w:rsid w:val="00917AC3"/>
    <w:rsid w:val="0092077F"/>
    <w:rsid w:val="00920AEF"/>
    <w:rsid w:val="00921425"/>
    <w:rsid w:val="00921B41"/>
    <w:rsid w:val="0092205A"/>
    <w:rsid w:val="00922DA8"/>
    <w:rsid w:val="00923C18"/>
    <w:rsid w:val="00924967"/>
    <w:rsid w:val="0092568E"/>
    <w:rsid w:val="00927F98"/>
    <w:rsid w:val="00930143"/>
    <w:rsid w:val="00930532"/>
    <w:rsid w:val="009307D3"/>
    <w:rsid w:val="00931C21"/>
    <w:rsid w:val="00931D16"/>
    <w:rsid w:val="00931D67"/>
    <w:rsid w:val="00932859"/>
    <w:rsid w:val="00933897"/>
    <w:rsid w:val="0093408C"/>
    <w:rsid w:val="00934C7C"/>
    <w:rsid w:val="00934CD0"/>
    <w:rsid w:val="0093565E"/>
    <w:rsid w:val="00935A2A"/>
    <w:rsid w:val="00936C7B"/>
    <w:rsid w:val="00936DD9"/>
    <w:rsid w:val="009373AB"/>
    <w:rsid w:val="0093782A"/>
    <w:rsid w:val="00937FB5"/>
    <w:rsid w:val="00940502"/>
    <w:rsid w:val="00941203"/>
    <w:rsid w:val="009416A5"/>
    <w:rsid w:val="009416FD"/>
    <w:rsid w:val="00942552"/>
    <w:rsid w:val="009425E8"/>
    <w:rsid w:val="009429B2"/>
    <w:rsid w:val="00943054"/>
    <w:rsid w:val="00943C57"/>
    <w:rsid w:val="00944242"/>
    <w:rsid w:val="0094452B"/>
    <w:rsid w:val="00944811"/>
    <w:rsid w:val="0094534A"/>
    <w:rsid w:val="00945B69"/>
    <w:rsid w:val="00946D20"/>
    <w:rsid w:val="00947247"/>
    <w:rsid w:val="00947439"/>
    <w:rsid w:val="00947F03"/>
    <w:rsid w:val="0095149E"/>
    <w:rsid w:val="009536DC"/>
    <w:rsid w:val="00953D6E"/>
    <w:rsid w:val="00954D64"/>
    <w:rsid w:val="00954E00"/>
    <w:rsid w:val="00955043"/>
    <w:rsid w:val="0095678F"/>
    <w:rsid w:val="009576AB"/>
    <w:rsid w:val="00957863"/>
    <w:rsid w:val="00957D1C"/>
    <w:rsid w:val="00962D2F"/>
    <w:rsid w:val="00963057"/>
    <w:rsid w:val="00963D6F"/>
    <w:rsid w:val="009644BD"/>
    <w:rsid w:val="00964DE5"/>
    <w:rsid w:val="0096650E"/>
    <w:rsid w:val="0096789A"/>
    <w:rsid w:val="00967B71"/>
    <w:rsid w:val="009708DE"/>
    <w:rsid w:val="00970C8C"/>
    <w:rsid w:val="00971063"/>
    <w:rsid w:val="009715D7"/>
    <w:rsid w:val="0097207B"/>
    <w:rsid w:val="009726B7"/>
    <w:rsid w:val="009727EF"/>
    <w:rsid w:val="00972949"/>
    <w:rsid w:val="009730C8"/>
    <w:rsid w:val="00973725"/>
    <w:rsid w:val="00974F02"/>
    <w:rsid w:val="00976B96"/>
    <w:rsid w:val="00977A74"/>
    <w:rsid w:val="00977BC3"/>
    <w:rsid w:val="00980047"/>
    <w:rsid w:val="00980E02"/>
    <w:rsid w:val="00981496"/>
    <w:rsid w:val="00982455"/>
    <w:rsid w:val="00983207"/>
    <w:rsid w:val="00983A94"/>
    <w:rsid w:val="00983CC4"/>
    <w:rsid w:val="0098527C"/>
    <w:rsid w:val="009852BA"/>
    <w:rsid w:val="0098543A"/>
    <w:rsid w:val="00985499"/>
    <w:rsid w:val="00985A83"/>
    <w:rsid w:val="00985E39"/>
    <w:rsid w:val="00987467"/>
    <w:rsid w:val="00987B96"/>
    <w:rsid w:val="009907FA"/>
    <w:rsid w:val="00990B8E"/>
    <w:rsid w:val="00990E79"/>
    <w:rsid w:val="009922D4"/>
    <w:rsid w:val="00993BE3"/>
    <w:rsid w:val="009949A8"/>
    <w:rsid w:val="0099507A"/>
    <w:rsid w:val="00995B0D"/>
    <w:rsid w:val="009966B9"/>
    <w:rsid w:val="00996EF1"/>
    <w:rsid w:val="00996F79"/>
    <w:rsid w:val="00996FD1"/>
    <w:rsid w:val="00997A06"/>
    <w:rsid w:val="00997C30"/>
    <w:rsid w:val="00997CB6"/>
    <w:rsid w:val="009A057F"/>
    <w:rsid w:val="009A0EF3"/>
    <w:rsid w:val="009A2012"/>
    <w:rsid w:val="009A24D4"/>
    <w:rsid w:val="009A31CD"/>
    <w:rsid w:val="009A31D5"/>
    <w:rsid w:val="009A4733"/>
    <w:rsid w:val="009A4F9C"/>
    <w:rsid w:val="009A504B"/>
    <w:rsid w:val="009A7227"/>
    <w:rsid w:val="009B0525"/>
    <w:rsid w:val="009B28B8"/>
    <w:rsid w:val="009B2A36"/>
    <w:rsid w:val="009B45D5"/>
    <w:rsid w:val="009B5B91"/>
    <w:rsid w:val="009B61BA"/>
    <w:rsid w:val="009B6F27"/>
    <w:rsid w:val="009B7D9A"/>
    <w:rsid w:val="009C00BC"/>
    <w:rsid w:val="009C13FE"/>
    <w:rsid w:val="009C1DAF"/>
    <w:rsid w:val="009C3030"/>
    <w:rsid w:val="009C314B"/>
    <w:rsid w:val="009C3B00"/>
    <w:rsid w:val="009C452B"/>
    <w:rsid w:val="009C4D7E"/>
    <w:rsid w:val="009C4FF7"/>
    <w:rsid w:val="009C5634"/>
    <w:rsid w:val="009C6218"/>
    <w:rsid w:val="009C660A"/>
    <w:rsid w:val="009C75CE"/>
    <w:rsid w:val="009C7A18"/>
    <w:rsid w:val="009D0F50"/>
    <w:rsid w:val="009D1018"/>
    <w:rsid w:val="009D2265"/>
    <w:rsid w:val="009D24B2"/>
    <w:rsid w:val="009D27EC"/>
    <w:rsid w:val="009D3790"/>
    <w:rsid w:val="009D3898"/>
    <w:rsid w:val="009D3B6F"/>
    <w:rsid w:val="009D541C"/>
    <w:rsid w:val="009D5ABD"/>
    <w:rsid w:val="009D5FBF"/>
    <w:rsid w:val="009D686D"/>
    <w:rsid w:val="009D73C2"/>
    <w:rsid w:val="009E0209"/>
    <w:rsid w:val="009E1933"/>
    <w:rsid w:val="009E1C7A"/>
    <w:rsid w:val="009E4692"/>
    <w:rsid w:val="009E4CA0"/>
    <w:rsid w:val="009E614B"/>
    <w:rsid w:val="009E6B4A"/>
    <w:rsid w:val="009E6B5D"/>
    <w:rsid w:val="009E72CB"/>
    <w:rsid w:val="009E7795"/>
    <w:rsid w:val="009F202D"/>
    <w:rsid w:val="009F2492"/>
    <w:rsid w:val="009F2B97"/>
    <w:rsid w:val="009F2DA1"/>
    <w:rsid w:val="009F3B33"/>
    <w:rsid w:val="009F42EB"/>
    <w:rsid w:val="009F46A3"/>
    <w:rsid w:val="009F5A2C"/>
    <w:rsid w:val="00A0007C"/>
    <w:rsid w:val="00A000CF"/>
    <w:rsid w:val="00A00A9E"/>
    <w:rsid w:val="00A00EDC"/>
    <w:rsid w:val="00A01F22"/>
    <w:rsid w:val="00A021AA"/>
    <w:rsid w:val="00A0335A"/>
    <w:rsid w:val="00A03FBA"/>
    <w:rsid w:val="00A04AFA"/>
    <w:rsid w:val="00A0500F"/>
    <w:rsid w:val="00A05323"/>
    <w:rsid w:val="00A06821"/>
    <w:rsid w:val="00A06FC1"/>
    <w:rsid w:val="00A10AEF"/>
    <w:rsid w:val="00A10E82"/>
    <w:rsid w:val="00A1174C"/>
    <w:rsid w:val="00A11FFC"/>
    <w:rsid w:val="00A124A4"/>
    <w:rsid w:val="00A12553"/>
    <w:rsid w:val="00A12B7E"/>
    <w:rsid w:val="00A14622"/>
    <w:rsid w:val="00A14A25"/>
    <w:rsid w:val="00A1580F"/>
    <w:rsid w:val="00A15832"/>
    <w:rsid w:val="00A15B5E"/>
    <w:rsid w:val="00A15D62"/>
    <w:rsid w:val="00A16363"/>
    <w:rsid w:val="00A1717E"/>
    <w:rsid w:val="00A1761B"/>
    <w:rsid w:val="00A179D6"/>
    <w:rsid w:val="00A20900"/>
    <w:rsid w:val="00A20FED"/>
    <w:rsid w:val="00A2148F"/>
    <w:rsid w:val="00A21923"/>
    <w:rsid w:val="00A22587"/>
    <w:rsid w:val="00A23066"/>
    <w:rsid w:val="00A231C2"/>
    <w:rsid w:val="00A23325"/>
    <w:rsid w:val="00A23507"/>
    <w:rsid w:val="00A24265"/>
    <w:rsid w:val="00A247B2"/>
    <w:rsid w:val="00A24DA5"/>
    <w:rsid w:val="00A24DEE"/>
    <w:rsid w:val="00A2580A"/>
    <w:rsid w:val="00A25B0B"/>
    <w:rsid w:val="00A269F4"/>
    <w:rsid w:val="00A26CF6"/>
    <w:rsid w:val="00A26E62"/>
    <w:rsid w:val="00A307B8"/>
    <w:rsid w:val="00A312E1"/>
    <w:rsid w:val="00A3148C"/>
    <w:rsid w:val="00A32022"/>
    <w:rsid w:val="00A3231E"/>
    <w:rsid w:val="00A32588"/>
    <w:rsid w:val="00A32FA0"/>
    <w:rsid w:val="00A33681"/>
    <w:rsid w:val="00A33E87"/>
    <w:rsid w:val="00A35E94"/>
    <w:rsid w:val="00A35FB7"/>
    <w:rsid w:val="00A36140"/>
    <w:rsid w:val="00A36FAF"/>
    <w:rsid w:val="00A36FEC"/>
    <w:rsid w:val="00A371BF"/>
    <w:rsid w:val="00A37361"/>
    <w:rsid w:val="00A40013"/>
    <w:rsid w:val="00A406B4"/>
    <w:rsid w:val="00A40812"/>
    <w:rsid w:val="00A4105B"/>
    <w:rsid w:val="00A428D1"/>
    <w:rsid w:val="00A43E33"/>
    <w:rsid w:val="00A44A98"/>
    <w:rsid w:val="00A44C01"/>
    <w:rsid w:val="00A45976"/>
    <w:rsid w:val="00A45B12"/>
    <w:rsid w:val="00A45D1D"/>
    <w:rsid w:val="00A464B9"/>
    <w:rsid w:val="00A46B18"/>
    <w:rsid w:val="00A4743F"/>
    <w:rsid w:val="00A51230"/>
    <w:rsid w:val="00A517CC"/>
    <w:rsid w:val="00A51F3E"/>
    <w:rsid w:val="00A5207E"/>
    <w:rsid w:val="00A52BAF"/>
    <w:rsid w:val="00A53C3E"/>
    <w:rsid w:val="00A55498"/>
    <w:rsid w:val="00A5615B"/>
    <w:rsid w:val="00A5631B"/>
    <w:rsid w:val="00A56512"/>
    <w:rsid w:val="00A56B00"/>
    <w:rsid w:val="00A57779"/>
    <w:rsid w:val="00A60BBD"/>
    <w:rsid w:val="00A60FD0"/>
    <w:rsid w:val="00A62EE3"/>
    <w:rsid w:val="00A6358D"/>
    <w:rsid w:val="00A64F4F"/>
    <w:rsid w:val="00A655A5"/>
    <w:rsid w:val="00A65DFC"/>
    <w:rsid w:val="00A66E35"/>
    <w:rsid w:val="00A66E66"/>
    <w:rsid w:val="00A67434"/>
    <w:rsid w:val="00A70107"/>
    <w:rsid w:val="00A72353"/>
    <w:rsid w:val="00A725B7"/>
    <w:rsid w:val="00A73546"/>
    <w:rsid w:val="00A73F42"/>
    <w:rsid w:val="00A76D2E"/>
    <w:rsid w:val="00A8019D"/>
    <w:rsid w:val="00A80201"/>
    <w:rsid w:val="00A80628"/>
    <w:rsid w:val="00A808A9"/>
    <w:rsid w:val="00A80CFA"/>
    <w:rsid w:val="00A8231C"/>
    <w:rsid w:val="00A83465"/>
    <w:rsid w:val="00A83E7A"/>
    <w:rsid w:val="00A840F7"/>
    <w:rsid w:val="00A84575"/>
    <w:rsid w:val="00A8473C"/>
    <w:rsid w:val="00A8758C"/>
    <w:rsid w:val="00A87CDC"/>
    <w:rsid w:val="00A9087A"/>
    <w:rsid w:val="00A91B42"/>
    <w:rsid w:val="00A91DDE"/>
    <w:rsid w:val="00A92B4F"/>
    <w:rsid w:val="00A92EA2"/>
    <w:rsid w:val="00A9349F"/>
    <w:rsid w:val="00A93626"/>
    <w:rsid w:val="00A93A69"/>
    <w:rsid w:val="00A94806"/>
    <w:rsid w:val="00A95043"/>
    <w:rsid w:val="00A95D5C"/>
    <w:rsid w:val="00A964B9"/>
    <w:rsid w:val="00A97049"/>
    <w:rsid w:val="00A9744B"/>
    <w:rsid w:val="00AA031D"/>
    <w:rsid w:val="00AA0F93"/>
    <w:rsid w:val="00AA2959"/>
    <w:rsid w:val="00AA2F65"/>
    <w:rsid w:val="00AA4279"/>
    <w:rsid w:val="00AA476F"/>
    <w:rsid w:val="00AA4DDB"/>
    <w:rsid w:val="00AA512E"/>
    <w:rsid w:val="00AA578D"/>
    <w:rsid w:val="00AA5802"/>
    <w:rsid w:val="00AA624F"/>
    <w:rsid w:val="00AA633E"/>
    <w:rsid w:val="00AA6478"/>
    <w:rsid w:val="00AA6B29"/>
    <w:rsid w:val="00AA73F4"/>
    <w:rsid w:val="00AA7E24"/>
    <w:rsid w:val="00AB0327"/>
    <w:rsid w:val="00AB191F"/>
    <w:rsid w:val="00AB230F"/>
    <w:rsid w:val="00AB29C0"/>
    <w:rsid w:val="00AB2BD2"/>
    <w:rsid w:val="00AB2F5C"/>
    <w:rsid w:val="00AB36F8"/>
    <w:rsid w:val="00AB3760"/>
    <w:rsid w:val="00AB3D35"/>
    <w:rsid w:val="00AB4A88"/>
    <w:rsid w:val="00AB5794"/>
    <w:rsid w:val="00AB5B5F"/>
    <w:rsid w:val="00AB72FC"/>
    <w:rsid w:val="00AC0BF5"/>
    <w:rsid w:val="00AC0D85"/>
    <w:rsid w:val="00AC11AF"/>
    <w:rsid w:val="00AC17D5"/>
    <w:rsid w:val="00AC18D9"/>
    <w:rsid w:val="00AC2134"/>
    <w:rsid w:val="00AC25E2"/>
    <w:rsid w:val="00AC2A13"/>
    <w:rsid w:val="00AC369C"/>
    <w:rsid w:val="00AC44CE"/>
    <w:rsid w:val="00AC49EA"/>
    <w:rsid w:val="00AC4F0D"/>
    <w:rsid w:val="00AC5D84"/>
    <w:rsid w:val="00AC6917"/>
    <w:rsid w:val="00AC741F"/>
    <w:rsid w:val="00AD07E6"/>
    <w:rsid w:val="00AD0ABB"/>
    <w:rsid w:val="00AD1732"/>
    <w:rsid w:val="00AD3082"/>
    <w:rsid w:val="00AD42CD"/>
    <w:rsid w:val="00AD45F0"/>
    <w:rsid w:val="00AD4A23"/>
    <w:rsid w:val="00AD4AC4"/>
    <w:rsid w:val="00AD60EE"/>
    <w:rsid w:val="00AE168D"/>
    <w:rsid w:val="00AE22CA"/>
    <w:rsid w:val="00AE3873"/>
    <w:rsid w:val="00AE38E8"/>
    <w:rsid w:val="00AE3A57"/>
    <w:rsid w:val="00AE40AA"/>
    <w:rsid w:val="00AE45CF"/>
    <w:rsid w:val="00AE493B"/>
    <w:rsid w:val="00AE66C0"/>
    <w:rsid w:val="00AE6A1B"/>
    <w:rsid w:val="00AE7DBB"/>
    <w:rsid w:val="00AF005C"/>
    <w:rsid w:val="00AF144E"/>
    <w:rsid w:val="00AF22E0"/>
    <w:rsid w:val="00AF4B98"/>
    <w:rsid w:val="00AF531D"/>
    <w:rsid w:val="00AF5439"/>
    <w:rsid w:val="00AF6D4A"/>
    <w:rsid w:val="00B00CEC"/>
    <w:rsid w:val="00B019E9"/>
    <w:rsid w:val="00B03382"/>
    <w:rsid w:val="00B03BA9"/>
    <w:rsid w:val="00B04109"/>
    <w:rsid w:val="00B04269"/>
    <w:rsid w:val="00B049C8"/>
    <w:rsid w:val="00B04ADB"/>
    <w:rsid w:val="00B05C38"/>
    <w:rsid w:val="00B07256"/>
    <w:rsid w:val="00B072A0"/>
    <w:rsid w:val="00B07CDB"/>
    <w:rsid w:val="00B1057B"/>
    <w:rsid w:val="00B11012"/>
    <w:rsid w:val="00B11BC4"/>
    <w:rsid w:val="00B12182"/>
    <w:rsid w:val="00B12771"/>
    <w:rsid w:val="00B13528"/>
    <w:rsid w:val="00B136EE"/>
    <w:rsid w:val="00B1417A"/>
    <w:rsid w:val="00B141A4"/>
    <w:rsid w:val="00B14896"/>
    <w:rsid w:val="00B162D0"/>
    <w:rsid w:val="00B168EC"/>
    <w:rsid w:val="00B17CEE"/>
    <w:rsid w:val="00B17EC1"/>
    <w:rsid w:val="00B2010D"/>
    <w:rsid w:val="00B20CD6"/>
    <w:rsid w:val="00B213F5"/>
    <w:rsid w:val="00B214C0"/>
    <w:rsid w:val="00B218A6"/>
    <w:rsid w:val="00B22212"/>
    <w:rsid w:val="00B23163"/>
    <w:rsid w:val="00B23948"/>
    <w:rsid w:val="00B23D78"/>
    <w:rsid w:val="00B2420C"/>
    <w:rsid w:val="00B24421"/>
    <w:rsid w:val="00B249E9"/>
    <w:rsid w:val="00B24A0D"/>
    <w:rsid w:val="00B25F69"/>
    <w:rsid w:val="00B262DE"/>
    <w:rsid w:val="00B26947"/>
    <w:rsid w:val="00B26A9F"/>
    <w:rsid w:val="00B26B00"/>
    <w:rsid w:val="00B317A1"/>
    <w:rsid w:val="00B317B5"/>
    <w:rsid w:val="00B321A9"/>
    <w:rsid w:val="00B33E8C"/>
    <w:rsid w:val="00B34AA8"/>
    <w:rsid w:val="00B352D2"/>
    <w:rsid w:val="00B35E6C"/>
    <w:rsid w:val="00B36772"/>
    <w:rsid w:val="00B37D4D"/>
    <w:rsid w:val="00B4078B"/>
    <w:rsid w:val="00B40A6B"/>
    <w:rsid w:val="00B4113B"/>
    <w:rsid w:val="00B421A3"/>
    <w:rsid w:val="00B42A28"/>
    <w:rsid w:val="00B42B29"/>
    <w:rsid w:val="00B4327E"/>
    <w:rsid w:val="00B43787"/>
    <w:rsid w:val="00B44027"/>
    <w:rsid w:val="00B448B7"/>
    <w:rsid w:val="00B448DE"/>
    <w:rsid w:val="00B44B0D"/>
    <w:rsid w:val="00B451F3"/>
    <w:rsid w:val="00B45354"/>
    <w:rsid w:val="00B456DA"/>
    <w:rsid w:val="00B458A9"/>
    <w:rsid w:val="00B46DF8"/>
    <w:rsid w:val="00B46F96"/>
    <w:rsid w:val="00B47383"/>
    <w:rsid w:val="00B50237"/>
    <w:rsid w:val="00B50307"/>
    <w:rsid w:val="00B50AEF"/>
    <w:rsid w:val="00B51289"/>
    <w:rsid w:val="00B51E99"/>
    <w:rsid w:val="00B52217"/>
    <w:rsid w:val="00B52501"/>
    <w:rsid w:val="00B52B9F"/>
    <w:rsid w:val="00B52DFF"/>
    <w:rsid w:val="00B532B2"/>
    <w:rsid w:val="00B53B1E"/>
    <w:rsid w:val="00B53D77"/>
    <w:rsid w:val="00B54066"/>
    <w:rsid w:val="00B54DC0"/>
    <w:rsid w:val="00B55CE5"/>
    <w:rsid w:val="00B564AE"/>
    <w:rsid w:val="00B56DB5"/>
    <w:rsid w:val="00B577A9"/>
    <w:rsid w:val="00B57BF5"/>
    <w:rsid w:val="00B57CD8"/>
    <w:rsid w:val="00B60640"/>
    <w:rsid w:val="00B606B0"/>
    <w:rsid w:val="00B60C52"/>
    <w:rsid w:val="00B6140D"/>
    <w:rsid w:val="00B6154C"/>
    <w:rsid w:val="00B61793"/>
    <w:rsid w:val="00B62BBB"/>
    <w:rsid w:val="00B62BD2"/>
    <w:rsid w:val="00B63990"/>
    <w:rsid w:val="00B63CDF"/>
    <w:rsid w:val="00B63E08"/>
    <w:rsid w:val="00B641AA"/>
    <w:rsid w:val="00B64BC5"/>
    <w:rsid w:val="00B6503F"/>
    <w:rsid w:val="00B655AF"/>
    <w:rsid w:val="00B6569F"/>
    <w:rsid w:val="00B66B8F"/>
    <w:rsid w:val="00B66EBF"/>
    <w:rsid w:val="00B67414"/>
    <w:rsid w:val="00B701C1"/>
    <w:rsid w:val="00B7092C"/>
    <w:rsid w:val="00B71675"/>
    <w:rsid w:val="00B71EA5"/>
    <w:rsid w:val="00B725D5"/>
    <w:rsid w:val="00B73509"/>
    <w:rsid w:val="00B745C1"/>
    <w:rsid w:val="00B75DA1"/>
    <w:rsid w:val="00B75FC7"/>
    <w:rsid w:val="00B76DDA"/>
    <w:rsid w:val="00B772BD"/>
    <w:rsid w:val="00B776AF"/>
    <w:rsid w:val="00B77CFA"/>
    <w:rsid w:val="00B807B1"/>
    <w:rsid w:val="00B81B19"/>
    <w:rsid w:val="00B82030"/>
    <w:rsid w:val="00B822A5"/>
    <w:rsid w:val="00B8233C"/>
    <w:rsid w:val="00B8246A"/>
    <w:rsid w:val="00B831DC"/>
    <w:rsid w:val="00B834FD"/>
    <w:rsid w:val="00B83CB3"/>
    <w:rsid w:val="00B8411C"/>
    <w:rsid w:val="00B8555B"/>
    <w:rsid w:val="00B8558E"/>
    <w:rsid w:val="00B86575"/>
    <w:rsid w:val="00B86B82"/>
    <w:rsid w:val="00B876EC"/>
    <w:rsid w:val="00B906D5"/>
    <w:rsid w:val="00B92195"/>
    <w:rsid w:val="00B9248E"/>
    <w:rsid w:val="00B92A09"/>
    <w:rsid w:val="00B935D8"/>
    <w:rsid w:val="00B94C90"/>
    <w:rsid w:val="00B969B5"/>
    <w:rsid w:val="00B96CF3"/>
    <w:rsid w:val="00B977E7"/>
    <w:rsid w:val="00BA0F48"/>
    <w:rsid w:val="00BA1109"/>
    <w:rsid w:val="00BA1B14"/>
    <w:rsid w:val="00BA2896"/>
    <w:rsid w:val="00BA3F9D"/>
    <w:rsid w:val="00BA47D5"/>
    <w:rsid w:val="00BA4F49"/>
    <w:rsid w:val="00BA6293"/>
    <w:rsid w:val="00BA6D99"/>
    <w:rsid w:val="00BA6ED7"/>
    <w:rsid w:val="00BB186C"/>
    <w:rsid w:val="00BB1E43"/>
    <w:rsid w:val="00BB2374"/>
    <w:rsid w:val="00BB282E"/>
    <w:rsid w:val="00BB2D33"/>
    <w:rsid w:val="00BB2E7F"/>
    <w:rsid w:val="00BB358F"/>
    <w:rsid w:val="00BB3FA9"/>
    <w:rsid w:val="00BB4BDD"/>
    <w:rsid w:val="00BB52B0"/>
    <w:rsid w:val="00BB73AF"/>
    <w:rsid w:val="00BB7D2D"/>
    <w:rsid w:val="00BB7E67"/>
    <w:rsid w:val="00BC076A"/>
    <w:rsid w:val="00BC1489"/>
    <w:rsid w:val="00BC1EC6"/>
    <w:rsid w:val="00BC21AD"/>
    <w:rsid w:val="00BC4F05"/>
    <w:rsid w:val="00BC534E"/>
    <w:rsid w:val="00BC5C56"/>
    <w:rsid w:val="00BC6149"/>
    <w:rsid w:val="00BC74A1"/>
    <w:rsid w:val="00BC75E7"/>
    <w:rsid w:val="00BD02B2"/>
    <w:rsid w:val="00BD0621"/>
    <w:rsid w:val="00BD09EA"/>
    <w:rsid w:val="00BD2336"/>
    <w:rsid w:val="00BD2587"/>
    <w:rsid w:val="00BD26E1"/>
    <w:rsid w:val="00BD2EFD"/>
    <w:rsid w:val="00BD3B3D"/>
    <w:rsid w:val="00BD3C2D"/>
    <w:rsid w:val="00BD411A"/>
    <w:rsid w:val="00BD5070"/>
    <w:rsid w:val="00BD562E"/>
    <w:rsid w:val="00BD58DA"/>
    <w:rsid w:val="00BD5A2E"/>
    <w:rsid w:val="00BD61C9"/>
    <w:rsid w:val="00BD6465"/>
    <w:rsid w:val="00BD6C09"/>
    <w:rsid w:val="00BD73EA"/>
    <w:rsid w:val="00BE1777"/>
    <w:rsid w:val="00BE1F52"/>
    <w:rsid w:val="00BE21CC"/>
    <w:rsid w:val="00BE27C1"/>
    <w:rsid w:val="00BE27D8"/>
    <w:rsid w:val="00BE28A7"/>
    <w:rsid w:val="00BE2997"/>
    <w:rsid w:val="00BE33BA"/>
    <w:rsid w:val="00BE391E"/>
    <w:rsid w:val="00BE4412"/>
    <w:rsid w:val="00BE5974"/>
    <w:rsid w:val="00BE609A"/>
    <w:rsid w:val="00BE6F4D"/>
    <w:rsid w:val="00BE7C2B"/>
    <w:rsid w:val="00BF0126"/>
    <w:rsid w:val="00BF025F"/>
    <w:rsid w:val="00BF0DFD"/>
    <w:rsid w:val="00BF3390"/>
    <w:rsid w:val="00BF3573"/>
    <w:rsid w:val="00BF35AF"/>
    <w:rsid w:val="00BF47D0"/>
    <w:rsid w:val="00BF4902"/>
    <w:rsid w:val="00BF4C08"/>
    <w:rsid w:val="00BF6923"/>
    <w:rsid w:val="00BF6961"/>
    <w:rsid w:val="00BF70B0"/>
    <w:rsid w:val="00BF738F"/>
    <w:rsid w:val="00BF786C"/>
    <w:rsid w:val="00C00372"/>
    <w:rsid w:val="00C01168"/>
    <w:rsid w:val="00C01359"/>
    <w:rsid w:val="00C0142B"/>
    <w:rsid w:val="00C01C0C"/>
    <w:rsid w:val="00C02190"/>
    <w:rsid w:val="00C021F6"/>
    <w:rsid w:val="00C04787"/>
    <w:rsid w:val="00C04B7A"/>
    <w:rsid w:val="00C04C6D"/>
    <w:rsid w:val="00C04F68"/>
    <w:rsid w:val="00C05341"/>
    <w:rsid w:val="00C056D2"/>
    <w:rsid w:val="00C05AB6"/>
    <w:rsid w:val="00C06D0A"/>
    <w:rsid w:val="00C0748C"/>
    <w:rsid w:val="00C1140E"/>
    <w:rsid w:val="00C117F4"/>
    <w:rsid w:val="00C11BC4"/>
    <w:rsid w:val="00C11FA1"/>
    <w:rsid w:val="00C16AC5"/>
    <w:rsid w:val="00C174AF"/>
    <w:rsid w:val="00C17FAB"/>
    <w:rsid w:val="00C20D30"/>
    <w:rsid w:val="00C22271"/>
    <w:rsid w:val="00C22D34"/>
    <w:rsid w:val="00C22E6A"/>
    <w:rsid w:val="00C22FD9"/>
    <w:rsid w:val="00C2309D"/>
    <w:rsid w:val="00C24EA4"/>
    <w:rsid w:val="00C250D0"/>
    <w:rsid w:val="00C25529"/>
    <w:rsid w:val="00C25807"/>
    <w:rsid w:val="00C270CC"/>
    <w:rsid w:val="00C2728A"/>
    <w:rsid w:val="00C3143B"/>
    <w:rsid w:val="00C3278C"/>
    <w:rsid w:val="00C33508"/>
    <w:rsid w:val="00C342E4"/>
    <w:rsid w:val="00C34828"/>
    <w:rsid w:val="00C36D0E"/>
    <w:rsid w:val="00C371BC"/>
    <w:rsid w:val="00C37C8C"/>
    <w:rsid w:val="00C37F92"/>
    <w:rsid w:val="00C404AF"/>
    <w:rsid w:val="00C4116F"/>
    <w:rsid w:val="00C41CA2"/>
    <w:rsid w:val="00C422A8"/>
    <w:rsid w:val="00C429DD"/>
    <w:rsid w:val="00C430F7"/>
    <w:rsid w:val="00C43BF7"/>
    <w:rsid w:val="00C44799"/>
    <w:rsid w:val="00C45A06"/>
    <w:rsid w:val="00C463B8"/>
    <w:rsid w:val="00C4728C"/>
    <w:rsid w:val="00C47C16"/>
    <w:rsid w:val="00C50B94"/>
    <w:rsid w:val="00C50E7F"/>
    <w:rsid w:val="00C512D2"/>
    <w:rsid w:val="00C51429"/>
    <w:rsid w:val="00C517F3"/>
    <w:rsid w:val="00C53ACD"/>
    <w:rsid w:val="00C55905"/>
    <w:rsid w:val="00C566B1"/>
    <w:rsid w:val="00C566C3"/>
    <w:rsid w:val="00C56B42"/>
    <w:rsid w:val="00C56F6C"/>
    <w:rsid w:val="00C57314"/>
    <w:rsid w:val="00C57A18"/>
    <w:rsid w:val="00C602D9"/>
    <w:rsid w:val="00C608C8"/>
    <w:rsid w:val="00C60E17"/>
    <w:rsid w:val="00C6122B"/>
    <w:rsid w:val="00C62706"/>
    <w:rsid w:val="00C62E19"/>
    <w:rsid w:val="00C63238"/>
    <w:rsid w:val="00C63C03"/>
    <w:rsid w:val="00C63E58"/>
    <w:rsid w:val="00C640DC"/>
    <w:rsid w:val="00C65176"/>
    <w:rsid w:val="00C65495"/>
    <w:rsid w:val="00C6549C"/>
    <w:rsid w:val="00C65F9B"/>
    <w:rsid w:val="00C66FB2"/>
    <w:rsid w:val="00C6794C"/>
    <w:rsid w:val="00C67C99"/>
    <w:rsid w:val="00C713A9"/>
    <w:rsid w:val="00C71E77"/>
    <w:rsid w:val="00C72D23"/>
    <w:rsid w:val="00C72D77"/>
    <w:rsid w:val="00C73987"/>
    <w:rsid w:val="00C743E0"/>
    <w:rsid w:val="00C7446D"/>
    <w:rsid w:val="00C75335"/>
    <w:rsid w:val="00C76D71"/>
    <w:rsid w:val="00C773B8"/>
    <w:rsid w:val="00C77DD3"/>
    <w:rsid w:val="00C8115C"/>
    <w:rsid w:val="00C81472"/>
    <w:rsid w:val="00C829F4"/>
    <w:rsid w:val="00C83D1A"/>
    <w:rsid w:val="00C84045"/>
    <w:rsid w:val="00C84FA2"/>
    <w:rsid w:val="00C85684"/>
    <w:rsid w:val="00C85BF2"/>
    <w:rsid w:val="00C85E20"/>
    <w:rsid w:val="00C85E3C"/>
    <w:rsid w:val="00C87032"/>
    <w:rsid w:val="00C87263"/>
    <w:rsid w:val="00C8784D"/>
    <w:rsid w:val="00C87D30"/>
    <w:rsid w:val="00C90617"/>
    <w:rsid w:val="00C9118D"/>
    <w:rsid w:val="00C914F1"/>
    <w:rsid w:val="00C923C6"/>
    <w:rsid w:val="00C926C5"/>
    <w:rsid w:val="00C92A8A"/>
    <w:rsid w:val="00C938E1"/>
    <w:rsid w:val="00C93B8B"/>
    <w:rsid w:val="00C95308"/>
    <w:rsid w:val="00C95E68"/>
    <w:rsid w:val="00C96DC4"/>
    <w:rsid w:val="00C97CE3"/>
    <w:rsid w:val="00CA00FE"/>
    <w:rsid w:val="00CA0142"/>
    <w:rsid w:val="00CA070F"/>
    <w:rsid w:val="00CA3B15"/>
    <w:rsid w:val="00CA3B83"/>
    <w:rsid w:val="00CA3CC1"/>
    <w:rsid w:val="00CA4C5B"/>
    <w:rsid w:val="00CA6BA7"/>
    <w:rsid w:val="00CA7498"/>
    <w:rsid w:val="00CA7B40"/>
    <w:rsid w:val="00CB0120"/>
    <w:rsid w:val="00CB0314"/>
    <w:rsid w:val="00CB04D8"/>
    <w:rsid w:val="00CB155C"/>
    <w:rsid w:val="00CB2166"/>
    <w:rsid w:val="00CB23F7"/>
    <w:rsid w:val="00CB275F"/>
    <w:rsid w:val="00CB424F"/>
    <w:rsid w:val="00CB4BF6"/>
    <w:rsid w:val="00CB67EF"/>
    <w:rsid w:val="00CB74F9"/>
    <w:rsid w:val="00CB7B30"/>
    <w:rsid w:val="00CB7D4C"/>
    <w:rsid w:val="00CB7E0C"/>
    <w:rsid w:val="00CC0E54"/>
    <w:rsid w:val="00CC1B0E"/>
    <w:rsid w:val="00CC26BB"/>
    <w:rsid w:val="00CC2868"/>
    <w:rsid w:val="00CC351A"/>
    <w:rsid w:val="00CC36AC"/>
    <w:rsid w:val="00CC4C2D"/>
    <w:rsid w:val="00CC4C62"/>
    <w:rsid w:val="00CC69D1"/>
    <w:rsid w:val="00CC7686"/>
    <w:rsid w:val="00CD0946"/>
    <w:rsid w:val="00CD1120"/>
    <w:rsid w:val="00CD188B"/>
    <w:rsid w:val="00CD1CDC"/>
    <w:rsid w:val="00CD2CC9"/>
    <w:rsid w:val="00CD3B02"/>
    <w:rsid w:val="00CD3C07"/>
    <w:rsid w:val="00CD3D96"/>
    <w:rsid w:val="00CD42BF"/>
    <w:rsid w:val="00CD4F77"/>
    <w:rsid w:val="00CD540C"/>
    <w:rsid w:val="00CD628C"/>
    <w:rsid w:val="00CD6EB7"/>
    <w:rsid w:val="00CE0169"/>
    <w:rsid w:val="00CE01BD"/>
    <w:rsid w:val="00CE04B4"/>
    <w:rsid w:val="00CE071C"/>
    <w:rsid w:val="00CE0BF6"/>
    <w:rsid w:val="00CE1E9B"/>
    <w:rsid w:val="00CE246F"/>
    <w:rsid w:val="00CE26B4"/>
    <w:rsid w:val="00CE26CD"/>
    <w:rsid w:val="00CE3CD6"/>
    <w:rsid w:val="00CE43C6"/>
    <w:rsid w:val="00CE4F10"/>
    <w:rsid w:val="00CE5F0D"/>
    <w:rsid w:val="00CE612F"/>
    <w:rsid w:val="00CE6AED"/>
    <w:rsid w:val="00CE6BD6"/>
    <w:rsid w:val="00CE6BFF"/>
    <w:rsid w:val="00CE6E5B"/>
    <w:rsid w:val="00CE781D"/>
    <w:rsid w:val="00CE7E91"/>
    <w:rsid w:val="00CF121B"/>
    <w:rsid w:val="00CF1B4A"/>
    <w:rsid w:val="00CF3A92"/>
    <w:rsid w:val="00CF3D50"/>
    <w:rsid w:val="00CF467C"/>
    <w:rsid w:val="00CF66FB"/>
    <w:rsid w:val="00CF72AE"/>
    <w:rsid w:val="00CF7C5E"/>
    <w:rsid w:val="00CF7D4D"/>
    <w:rsid w:val="00CF7F2F"/>
    <w:rsid w:val="00D01666"/>
    <w:rsid w:val="00D01D28"/>
    <w:rsid w:val="00D01E63"/>
    <w:rsid w:val="00D0282A"/>
    <w:rsid w:val="00D02DB3"/>
    <w:rsid w:val="00D03F44"/>
    <w:rsid w:val="00D04FF2"/>
    <w:rsid w:val="00D05BDE"/>
    <w:rsid w:val="00D06113"/>
    <w:rsid w:val="00D06FBA"/>
    <w:rsid w:val="00D073BE"/>
    <w:rsid w:val="00D07F98"/>
    <w:rsid w:val="00D12003"/>
    <w:rsid w:val="00D122EA"/>
    <w:rsid w:val="00D13354"/>
    <w:rsid w:val="00D14894"/>
    <w:rsid w:val="00D154C4"/>
    <w:rsid w:val="00D1576C"/>
    <w:rsid w:val="00D16469"/>
    <w:rsid w:val="00D174F9"/>
    <w:rsid w:val="00D17F46"/>
    <w:rsid w:val="00D2068C"/>
    <w:rsid w:val="00D20F82"/>
    <w:rsid w:val="00D21234"/>
    <w:rsid w:val="00D2124C"/>
    <w:rsid w:val="00D21963"/>
    <w:rsid w:val="00D21A73"/>
    <w:rsid w:val="00D22332"/>
    <w:rsid w:val="00D225EE"/>
    <w:rsid w:val="00D23074"/>
    <w:rsid w:val="00D23EAE"/>
    <w:rsid w:val="00D2570C"/>
    <w:rsid w:val="00D258C1"/>
    <w:rsid w:val="00D263C8"/>
    <w:rsid w:val="00D30E66"/>
    <w:rsid w:val="00D3166E"/>
    <w:rsid w:val="00D32379"/>
    <w:rsid w:val="00D32BBB"/>
    <w:rsid w:val="00D32F6A"/>
    <w:rsid w:val="00D34D59"/>
    <w:rsid w:val="00D4087A"/>
    <w:rsid w:val="00D40CEC"/>
    <w:rsid w:val="00D412DE"/>
    <w:rsid w:val="00D41628"/>
    <w:rsid w:val="00D41CA0"/>
    <w:rsid w:val="00D41CB4"/>
    <w:rsid w:val="00D422BA"/>
    <w:rsid w:val="00D42FAA"/>
    <w:rsid w:val="00D42FE3"/>
    <w:rsid w:val="00D43DAC"/>
    <w:rsid w:val="00D44087"/>
    <w:rsid w:val="00D44251"/>
    <w:rsid w:val="00D44816"/>
    <w:rsid w:val="00D44D85"/>
    <w:rsid w:val="00D45C80"/>
    <w:rsid w:val="00D4617E"/>
    <w:rsid w:val="00D4639F"/>
    <w:rsid w:val="00D4665C"/>
    <w:rsid w:val="00D46759"/>
    <w:rsid w:val="00D46F7C"/>
    <w:rsid w:val="00D46FCB"/>
    <w:rsid w:val="00D47654"/>
    <w:rsid w:val="00D50C61"/>
    <w:rsid w:val="00D51BE9"/>
    <w:rsid w:val="00D53687"/>
    <w:rsid w:val="00D55C64"/>
    <w:rsid w:val="00D560B0"/>
    <w:rsid w:val="00D56557"/>
    <w:rsid w:val="00D56A05"/>
    <w:rsid w:val="00D574D6"/>
    <w:rsid w:val="00D574E9"/>
    <w:rsid w:val="00D57C72"/>
    <w:rsid w:val="00D600C3"/>
    <w:rsid w:val="00D6098B"/>
    <w:rsid w:val="00D614F5"/>
    <w:rsid w:val="00D621D1"/>
    <w:rsid w:val="00D6239E"/>
    <w:rsid w:val="00D63574"/>
    <w:rsid w:val="00D65165"/>
    <w:rsid w:val="00D65296"/>
    <w:rsid w:val="00D6563E"/>
    <w:rsid w:val="00D65F17"/>
    <w:rsid w:val="00D65F5F"/>
    <w:rsid w:val="00D661A7"/>
    <w:rsid w:val="00D666D7"/>
    <w:rsid w:val="00D66FBA"/>
    <w:rsid w:val="00D673EB"/>
    <w:rsid w:val="00D6763D"/>
    <w:rsid w:val="00D70847"/>
    <w:rsid w:val="00D71778"/>
    <w:rsid w:val="00D719E9"/>
    <w:rsid w:val="00D71B36"/>
    <w:rsid w:val="00D7246A"/>
    <w:rsid w:val="00D7267F"/>
    <w:rsid w:val="00D72AF9"/>
    <w:rsid w:val="00D73591"/>
    <w:rsid w:val="00D73BCC"/>
    <w:rsid w:val="00D7525D"/>
    <w:rsid w:val="00D76533"/>
    <w:rsid w:val="00D770D4"/>
    <w:rsid w:val="00D77BCD"/>
    <w:rsid w:val="00D81942"/>
    <w:rsid w:val="00D836EC"/>
    <w:rsid w:val="00D8409D"/>
    <w:rsid w:val="00D87920"/>
    <w:rsid w:val="00D87D0B"/>
    <w:rsid w:val="00D87EBD"/>
    <w:rsid w:val="00D90A48"/>
    <w:rsid w:val="00D91CC4"/>
    <w:rsid w:val="00D91D62"/>
    <w:rsid w:val="00D9455C"/>
    <w:rsid w:val="00D96461"/>
    <w:rsid w:val="00D966AE"/>
    <w:rsid w:val="00D97164"/>
    <w:rsid w:val="00D97287"/>
    <w:rsid w:val="00D97400"/>
    <w:rsid w:val="00D97947"/>
    <w:rsid w:val="00DA0321"/>
    <w:rsid w:val="00DA036C"/>
    <w:rsid w:val="00DA0581"/>
    <w:rsid w:val="00DA124F"/>
    <w:rsid w:val="00DA1C37"/>
    <w:rsid w:val="00DA1CBF"/>
    <w:rsid w:val="00DA1EF8"/>
    <w:rsid w:val="00DA23B9"/>
    <w:rsid w:val="00DA28AE"/>
    <w:rsid w:val="00DA32ED"/>
    <w:rsid w:val="00DA4585"/>
    <w:rsid w:val="00DA5795"/>
    <w:rsid w:val="00DA6492"/>
    <w:rsid w:val="00DA6FAA"/>
    <w:rsid w:val="00DA71EE"/>
    <w:rsid w:val="00DA7730"/>
    <w:rsid w:val="00DB0122"/>
    <w:rsid w:val="00DB08F4"/>
    <w:rsid w:val="00DB1868"/>
    <w:rsid w:val="00DB18CA"/>
    <w:rsid w:val="00DB35A2"/>
    <w:rsid w:val="00DB3F25"/>
    <w:rsid w:val="00DB4678"/>
    <w:rsid w:val="00DB53E7"/>
    <w:rsid w:val="00DB5A8E"/>
    <w:rsid w:val="00DB6668"/>
    <w:rsid w:val="00DB7236"/>
    <w:rsid w:val="00DC1AE2"/>
    <w:rsid w:val="00DC222B"/>
    <w:rsid w:val="00DC2923"/>
    <w:rsid w:val="00DC3DBA"/>
    <w:rsid w:val="00DC6156"/>
    <w:rsid w:val="00DC69D8"/>
    <w:rsid w:val="00DC6A24"/>
    <w:rsid w:val="00DC74CE"/>
    <w:rsid w:val="00DD0132"/>
    <w:rsid w:val="00DD19F2"/>
    <w:rsid w:val="00DD1DDE"/>
    <w:rsid w:val="00DD2B11"/>
    <w:rsid w:val="00DD31B6"/>
    <w:rsid w:val="00DD3C20"/>
    <w:rsid w:val="00DD514A"/>
    <w:rsid w:val="00DD5302"/>
    <w:rsid w:val="00DD5AFC"/>
    <w:rsid w:val="00DD63E7"/>
    <w:rsid w:val="00DD6568"/>
    <w:rsid w:val="00DD6766"/>
    <w:rsid w:val="00DD6C45"/>
    <w:rsid w:val="00DE0076"/>
    <w:rsid w:val="00DE0B83"/>
    <w:rsid w:val="00DE1F83"/>
    <w:rsid w:val="00DE2C2E"/>
    <w:rsid w:val="00DE2FE3"/>
    <w:rsid w:val="00DE3893"/>
    <w:rsid w:val="00DE3F2A"/>
    <w:rsid w:val="00DE461E"/>
    <w:rsid w:val="00DE5A29"/>
    <w:rsid w:val="00DE62A5"/>
    <w:rsid w:val="00DE6F56"/>
    <w:rsid w:val="00DF0568"/>
    <w:rsid w:val="00DF0D4D"/>
    <w:rsid w:val="00DF31B7"/>
    <w:rsid w:val="00DF3D5D"/>
    <w:rsid w:val="00DF3F01"/>
    <w:rsid w:val="00DF4C5B"/>
    <w:rsid w:val="00DF5BE8"/>
    <w:rsid w:val="00DF666C"/>
    <w:rsid w:val="00DF66C1"/>
    <w:rsid w:val="00DF6C0E"/>
    <w:rsid w:val="00DF6DA6"/>
    <w:rsid w:val="00DF750C"/>
    <w:rsid w:val="00E00E31"/>
    <w:rsid w:val="00E01EB1"/>
    <w:rsid w:val="00E01EB8"/>
    <w:rsid w:val="00E02613"/>
    <w:rsid w:val="00E02C88"/>
    <w:rsid w:val="00E02EEC"/>
    <w:rsid w:val="00E03E9C"/>
    <w:rsid w:val="00E04319"/>
    <w:rsid w:val="00E06ACB"/>
    <w:rsid w:val="00E07212"/>
    <w:rsid w:val="00E07726"/>
    <w:rsid w:val="00E10781"/>
    <w:rsid w:val="00E1080B"/>
    <w:rsid w:val="00E10997"/>
    <w:rsid w:val="00E10A5A"/>
    <w:rsid w:val="00E10B45"/>
    <w:rsid w:val="00E1109E"/>
    <w:rsid w:val="00E113F1"/>
    <w:rsid w:val="00E11912"/>
    <w:rsid w:val="00E11A19"/>
    <w:rsid w:val="00E11B38"/>
    <w:rsid w:val="00E1300D"/>
    <w:rsid w:val="00E13596"/>
    <w:rsid w:val="00E1526E"/>
    <w:rsid w:val="00E15A4A"/>
    <w:rsid w:val="00E167DC"/>
    <w:rsid w:val="00E16DD4"/>
    <w:rsid w:val="00E175AE"/>
    <w:rsid w:val="00E1792B"/>
    <w:rsid w:val="00E20634"/>
    <w:rsid w:val="00E20DFD"/>
    <w:rsid w:val="00E218B7"/>
    <w:rsid w:val="00E21D4E"/>
    <w:rsid w:val="00E23083"/>
    <w:rsid w:val="00E23D89"/>
    <w:rsid w:val="00E275F1"/>
    <w:rsid w:val="00E2788D"/>
    <w:rsid w:val="00E30C39"/>
    <w:rsid w:val="00E31FEE"/>
    <w:rsid w:val="00E32C3F"/>
    <w:rsid w:val="00E32D60"/>
    <w:rsid w:val="00E33551"/>
    <w:rsid w:val="00E3468A"/>
    <w:rsid w:val="00E35516"/>
    <w:rsid w:val="00E35A8D"/>
    <w:rsid w:val="00E35D3A"/>
    <w:rsid w:val="00E373E4"/>
    <w:rsid w:val="00E403EE"/>
    <w:rsid w:val="00E413D2"/>
    <w:rsid w:val="00E44290"/>
    <w:rsid w:val="00E442A5"/>
    <w:rsid w:val="00E445A6"/>
    <w:rsid w:val="00E44DD7"/>
    <w:rsid w:val="00E4608A"/>
    <w:rsid w:val="00E47153"/>
    <w:rsid w:val="00E47670"/>
    <w:rsid w:val="00E50233"/>
    <w:rsid w:val="00E506FE"/>
    <w:rsid w:val="00E50C9A"/>
    <w:rsid w:val="00E50D21"/>
    <w:rsid w:val="00E51838"/>
    <w:rsid w:val="00E52763"/>
    <w:rsid w:val="00E52A51"/>
    <w:rsid w:val="00E55A2A"/>
    <w:rsid w:val="00E56562"/>
    <w:rsid w:val="00E56758"/>
    <w:rsid w:val="00E5677A"/>
    <w:rsid w:val="00E56D18"/>
    <w:rsid w:val="00E57888"/>
    <w:rsid w:val="00E57B05"/>
    <w:rsid w:val="00E57DC5"/>
    <w:rsid w:val="00E60F40"/>
    <w:rsid w:val="00E614AD"/>
    <w:rsid w:val="00E61B58"/>
    <w:rsid w:val="00E64AAC"/>
    <w:rsid w:val="00E65962"/>
    <w:rsid w:val="00E659AA"/>
    <w:rsid w:val="00E66D0E"/>
    <w:rsid w:val="00E66FB2"/>
    <w:rsid w:val="00E67050"/>
    <w:rsid w:val="00E67597"/>
    <w:rsid w:val="00E67DA2"/>
    <w:rsid w:val="00E67E78"/>
    <w:rsid w:val="00E705FA"/>
    <w:rsid w:val="00E708D9"/>
    <w:rsid w:val="00E711CA"/>
    <w:rsid w:val="00E717D7"/>
    <w:rsid w:val="00E73466"/>
    <w:rsid w:val="00E73512"/>
    <w:rsid w:val="00E7354C"/>
    <w:rsid w:val="00E73560"/>
    <w:rsid w:val="00E739D9"/>
    <w:rsid w:val="00E74C45"/>
    <w:rsid w:val="00E75113"/>
    <w:rsid w:val="00E7572B"/>
    <w:rsid w:val="00E76047"/>
    <w:rsid w:val="00E76792"/>
    <w:rsid w:val="00E76C17"/>
    <w:rsid w:val="00E77D23"/>
    <w:rsid w:val="00E80047"/>
    <w:rsid w:val="00E815A0"/>
    <w:rsid w:val="00E815C4"/>
    <w:rsid w:val="00E819BD"/>
    <w:rsid w:val="00E827CF"/>
    <w:rsid w:val="00E8339F"/>
    <w:rsid w:val="00E83FD4"/>
    <w:rsid w:val="00E84211"/>
    <w:rsid w:val="00E84658"/>
    <w:rsid w:val="00E861F3"/>
    <w:rsid w:val="00E86F86"/>
    <w:rsid w:val="00E8701E"/>
    <w:rsid w:val="00E87279"/>
    <w:rsid w:val="00E90641"/>
    <w:rsid w:val="00E90A64"/>
    <w:rsid w:val="00E90B7C"/>
    <w:rsid w:val="00E9115C"/>
    <w:rsid w:val="00E920F9"/>
    <w:rsid w:val="00E92431"/>
    <w:rsid w:val="00E92BDC"/>
    <w:rsid w:val="00E92C20"/>
    <w:rsid w:val="00E92D91"/>
    <w:rsid w:val="00E930FA"/>
    <w:rsid w:val="00E94746"/>
    <w:rsid w:val="00E9687F"/>
    <w:rsid w:val="00E96D88"/>
    <w:rsid w:val="00E97785"/>
    <w:rsid w:val="00EA085B"/>
    <w:rsid w:val="00EA0ED7"/>
    <w:rsid w:val="00EA1064"/>
    <w:rsid w:val="00EA2F98"/>
    <w:rsid w:val="00EA37C1"/>
    <w:rsid w:val="00EA422F"/>
    <w:rsid w:val="00EA48B6"/>
    <w:rsid w:val="00EA5C75"/>
    <w:rsid w:val="00EA77A1"/>
    <w:rsid w:val="00EA7EB6"/>
    <w:rsid w:val="00EA7F28"/>
    <w:rsid w:val="00EB01C1"/>
    <w:rsid w:val="00EB1194"/>
    <w:rsid w:val="00EB260D"/>
    <w:rsid w:val="00EB386B"/>
    <w:rsid w:val="00EB39D1"/>
    <w:rsid w:val="00EB3B8A"/>
    <w:rsid w:val="00EB3CA1"/>
    <w:rsid w:val="00EB56DA"/>
    <w:rsid w:val="00EB5FD4"/>
    <w:rsid w:val="00EB7533"/>
    <w:rsid w:val="00EB79E1"/>
    <w:rsid w:val="00EC116F"/>
    <w:rsid w:val="00EC531A"/>
    <w:rsid w:val="00EC5970"/>
    <w:rsid w:val="00EC6F2E"/>
    <w:rsid w:val="00EC7287"/>
    <w:rsid w:val="00EC790B"/>
    <w:rsid w:val="00ED0E6A"/>
    <w:rsid w:val="00ED1B1E"/>
    <w:rsid w:val="00ED1F42"/>
    <w:rsid w:val="00ED2C88"/>
    <w:rsid w:val="00ED3FA0"/>
    <w:rsid w:val="00ED45DA"/>
    <w:rsid w:val="00ED4D92"/>
    <w:rsid w:val="00ED53ED"/>
    <w:rsid w:val="00ED5B31"/>
    <w:rsid w:val="00ED62ED"/>
    <w:rsid w:val="00ED6D39"/>
    <w:rsid w:val="00ED6D49"/>
    <w:rsid w:val="00ED6FF2"/>
    <w:rsid w:val="00ED760D"/>
    <w:rsid w:val="00ED7908"/>
    <w:rsid w:val="00ED7973"/>
    <w:rsid w:val="00ED7E01"/>
    <w:rsid w:val="00EE0ECB"/>
    <w:rsid w:val="00EE3530"/>
    <w:rsid w:val="00EE3B49"/>
    <w:rsid w:val="00EE3D17"/>
    <w:rsid w:val="00EE43AA"/>
    <w:rsid w:val="00EE45C1"/>
    <w:rsid w:val="00EE4C6A"/>
    <w:rsid w:val="00EE60C2"/>
    <w:rsid w:val="00EE6744"/>
    <w:rsid w:val="00EE6A54"/>
    <w:rsid w:val="00EF0D1E"/>
    <w:rsid w:val="00EF0E74"/>
    <w:rsid w:val="00EF1E51"/>
    <w:rsid w:val="00EF25FE"/>
    <w:rsid w:val="00EF2E51"/>
    <w:rsid w:val="00EF4A45"/>
    <w:rsid w:val="00EF4C5D"/>
    <w:rsid w:val="00EF572C"/>
    <w:rsid w:val="00EF72F1"/>
    <w:rsid w:val="00EF7515"/>
    <w:rsid w:val="00EF7671"/>
    <w:rsid w:val="00EF7AA0"/>
    <w:rsid w:val="00F003E6"/>
    <w:rsid w:val="00F005B9"/>
    <w:rsid w:val="00F005F5"/>
    <w:rsid w:val="00F01279"/>
    <w:rsid w:val="00F01ED1"/>
    <w:rsid w:val="00F024C5"/>
    <w:rsid w:val="00F02C9C"/>
    <w:rsid w:val="00F02D10"/>
    <w:rsid w:val="00F0305A"/>
    <w:rsid w:val="00F0365E"/>
    <w:rsid w:val="00F03CB1"/>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5DA3"/>
    <w:rsid w:val="00F16D51"/>
    <w:rsid w:val="00F17129"/>
    <w:rsid w:val="00F17F92"/>
    <w:rsid w:val="00F20F8B"/>
    <w:rsid w:val="00F2128B"/>
    <w:rsid w:val="00F2405E"/>
    <w:rsid w:val="00F250BE"/>
    <w:rsid w:val="00F25AE3"/>
    <w:rsid w:val="00F263A0"/>
    <w:rsid w:val="00F263F6"/>
    <w:rsid w:val="00F2764A"/>
    <w:rsid w:val="00F27853"/>
    <w:rsid w:val="00F30DF2"/>
    <w:rsid w:val="00F32CCD"/>
    <w:rsid w:val="00F32EE0"/>
    <w:rsid w:val="00F33445"/>
    <w:rsid w:val="00F33812"/>
    <w:rsid w:val="00F33E04"/>
    <w:rsid w:val="00F33EBE"/>
    <w:rsid w:val="00F34D6A"/>
    <w:rsid w:val="00F34F0B"/>
    <w:rsid w:val="00F35408"/>
    <w:rsid w:val="00F358FB"/>
    <w:rsid w:val="00F41501"/>
    <w:rsid w:val="00F4204B"/>
    <w:rsid w:val="00F42D4C"/>
    <w:rsid w:val="00F42E12"/>
    <w:rsid w:val="00F44FB4"/>
    <w:rsid w:val="00F45735"/>
    <w:rsid w:val="00F4645D"/>
    <w:rsid w:val="00F46A8F"/>
    <w:rsid w:val="00F46DF9"/>
    <w:rsid w:val="00F473A1"/>
    <w:rsid w:val="00F51547"/>
    <w:rsid w:val="00F5353E"/>
    <w:rsid w:val="00F54F14"/>
    <w:rsid w:val="00F5583F"/>
    <w:rsid w:val="00F56F8E"/>
    <w:rsid w:val="00F575BD"/>
    <w:rsid w:val="00F6276D"/>
    <w:rsid w:val="00F63021"/>
    <w:rsid w:val="00F64BC3"/>
    <w:rsid w:val="00F65A65"/>
    <w:rsid w:val="00F660FD"/>
    <w:rsid w:val="00F6611D"/>
    <w:rsid w:val="00F667FE"/>
    <w:rsid w:val="00F66AB5"/>
    <w:rsid w:val="00F701DD"/>
    <w:rsid w:val="00F70737"/>
    <w:rsid w:val="00F70AC8"/>
    <w:rsid w:val="00F714A2"/>
    <w:rsid w:val="00F71A88"/>
    <w:rsid w:val="00F71B3B"/>
    <w:rsid w:val="00F72A15"/>
    <w:rsid w:val="00F75348"/>
    <w:rsid w:val="00F7557D"/>
    <w:rsid w:val="00F7664A"/>
    <w:rsid w:val="00F767C6"/>
    <w:rsid w:val="00F77B50"/>
    <w:rsid w:val="00F80E4D"/>
    <w:rsid w:val="00F813E9"/>
    <w:rsid w:val="00F818EE"/>
    <w:rsid w:val="00F81BB4"/>
    <w:rsid w:val="00F81D20"/>
    <w:rsid w:val="00F81E1F"/>
    <w:rsid w:val="00F82E40"/>
    <w:rsid w:val="00F830C4"/>
    <w:rsid w:val="00F8322F"/>
    <w:rsid w:val="00F838C7"/>
    <w:rsid w:val="00F839C0"/>
    <w:rsid w:val="00F839C9"/>
    <w:rsid w:val="00F84DC7"/>
    <w:rsid w:val="00F84EF9"/>
    <w:rsid w:val="00F854D0"/>
    <w:rsid w:val="00F859E1"/>
    <w:rsid w:val="00F85D54"/>
    <w:rsid w:val="00F86701"/>
    <w:rsid w:val="00F869C2"/>
    <w:rsid w:val="00F86A3C"/>
    <w:rsid w:val="00F86AAE"/>
    <w:rsid w:val="00F86E35"/>
    <w:rsid w:val="00F875C9"/>
    <w:rsid w:val="00F87B32"/>
    <w:rsid w:val="00F90AC8"/>
    <w:rsid w:val="00F914F6"/>
    <w:rsid w:val="00F91769"/>
    <w:rsid w:val="00F92314"/>
    <w:rsid w:val="00F9285E"/>
    <w:rsid w:val="00F9313F"/>
    <w:rsid w:val="00F9339E"/>
    <w:rsid w:val="00F94173"/>
    <w:rsid w:val="00F94349"/>
    <w:rsid w:val="00F94F16"/>
    <w:rsid w:val="00F950EB"/>
    <w:rsid w:val="00F9606E"/>
    <w:rsid w:val="00F96CF9"/>
    <w:rsid w:val="00F97022"/>
    <w:rsid w:val="00F970BE"/>
    <w:rsid w:val="00F975C9"/>
    <w:rsid w:val="00FA022D"/>
    <w:rsid w:val="00FA0388"/>
    <w:rsid w:val="00FA04F6"/>
    <w:rsid w:val="00FA0B69"/>
    <w:rsid w:val="00FA16E6"/>
    <w:rsid w:val="00FA47E4"/>
    <w:rsid w:val="00FA4DF8"/>
    <w:rsid w:val="00FA4E69"/>
    <w:rsid w:val="00FA5E0D"/>
    <w:rsid w:val="00FA73EF"/>
    <w:rsid w:val="00FB0CB1"/>
    <w:rsid w:val="00FB1BCE"/>
    <w:rsid w:val="00FB1DC6"/>
    <w:rsid w:val="00FB1E59"/>
    <w:rsid w:val="00FB1FEA"/>
    <w:rsid w:val="00FB22A0"/>
    <w:rsid w:val="00FB243F"/>
    <w:rsid w:val="00FB24BA"/>
    <w:rsid w:val="00FB2717"/>
    <w:rsid w:val="00FB2D1D"/>
    <w:rsid w:val="00FB3E3D"/>
    <w:rsid w:val="00FB409C"/>
    <w:rsid w:val="00FB415A"/>
    <w:rsid w:val="00FB4758"/>
    <w:rsid w:val="00FB47D5"/>
    <w:rsid w:val="00FB5AB4"/>
    <w:rsid w:val="00FB68A1"/>
    <w:rsid w:val="00FB7EE4"/>
    <w:rsid w:val="00FC05A0"/>
    <w:rsid w:val="00FC0A0E"/>
    <w:rsid w:val="00FC1869"/>
    <w:rsid w:val="00FC1BD6"/>
    <w:rsid w:val="00FC1F41"/>
    <w:rsid w:val="00FC27F6"/>
    <w:rsid w:val="00FC303F"/>
    <w:rsid w:val="00FC4967"/>
    <w:rsid w:val="00FC54CE"/>
    <w:rsid w:val="00FC65AB"/>
    <w:rsid w:val="00FC7C08"/>
    <w:rsid w:val="00FC7D59"/>
    <w:rsid w:val="00FD1180"/>
    <w:rsid w:val="00FD246A"/>
    <w:rsid w:val="00FD4DD0"/>
    <w:rsid w:val="00FD511C"/>
    <w:rsid w:val="00FD5212"/>
    <w:rsid w:val="00FD6E96"/>
    <w:rsid w:val="00FD73A0"/>
    <w:rsid w:val="00FD796D"/>
    <w:rsid w:val="00FD79AD"/>
    <w:rsid w:val="00FD7D7C"/>
    <w:rsid w:val="00FE0290"/>
    <w:rsid w:val="00FE0B02"/>
    <w:rsid w:val="00FE2B09"/>
    <w:rsid w:val="00FE2E75"/>
    <w:rsid w:val="00FE3480"/>
    <w:rsid w:val="00FE3514"/>
    <w:rsid w:val="00FE3DA7"/>
    <w:rsid w:val="00FE4228"/>
    <w:rsid w:val="00FE480D"/>
    <w:rsid w:val="00FE4BF8"/>
    <w:rsid w:val="00FE570E"/>
    <w:rsid w:val="00FE57A5"/>
    <w:rsid w:val="00FE7D6E"/>
    <w:rsid w:val="00FF1212"/>
    <w:rsid w:val="00FF163C"/>
    <w:rsid w:val="00FF1EF3"/>
    <w:rsid w:val="00FF213C"/>
    <w:rsid w:val="00FF28D0"/>
    <w:rsid w:val="00FF330D"/>
    <w:rsid w:val="00FF342E"/>
    <w:rsid w:val="00FF3E1E"/>
    <w:rsid w:val="00FF3F37"/>
    <w:rsid w:val="00FF4C10"/>
    <w:rsid w:val="00FF60FA"/>
    <w:rsid w:val="00FF6112"/>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8C"/>
    <w:rPr>
      <w:sz w:val="24"/>
      <w:szCs w:val="24"/>
    </w:rPr>
  </w:style>
  <w:style w:type="paragraph" w:styleId="Heading1">
    <w:name w:val="heading 1"/>
    <w:basedOn w:val="Normal"/>
    <w:next w:val="BodyText"/>
    <w:link w:val="Heading1Char"/>
    <w:qFormat/>
    <w:rsid w:val="004D50DA"/>
    <w:pPr>
      <w:keepNext/>
      <w:numPr>
        <w:numId w:val="1"/>
      </w:numPr>
      <w:spacing w:before="720" w:after="60" w:line="400" w:lineRule="atLeast"/>
      <w:outlineLvl w:val="0"/>
    </w:pPr>
    <w:rPr>
      <w:rFonts w:ascii="Myriad Pro" w:hAnsi="Myriad Pro"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link w:val="Heading3Char"/>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D50DA"/>
    <w:pPr>
      <w:numPr>
        <w:ilvl w:val="3"/>
      </w:numPr>
      <w:spacing w:before="360"/>
      <w:outlineLvl w:val="3"/>
    </w:pPr>
    <w:rPr>
      <w:b w:val="0"/>
    </w:rPr>
  </w:style>
  <w:style w:type="paragraph" w:styleId="Heading5">
    <w:name w:val="heading 5"/>
    <w:basedOn w:val="BodyText"/>
    <w:next w:val="BodyText"/>
    <w:qFormat/>
    <w:rsid w:val="004D50DA"/>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D50DA"/>
    <w:pPr>
      <w:numPr>
        <w:ilvl w:val="7"/>
      </w:numPr>
      <w:outlineLvl w:val="7"/>
    </w:p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265"/>
    <w:pPr>
      <w:spacing w:before="240" w:line="280" w:lineRule="atLeast"/>
      <w:jc w:val="both"/>
    </w:pPr>
    <w:rPr>
      <w:rFonts w:ascii="Book Antiqua" w:hAnsi="Book Antiqua"/>
      <w:sz w:val="21"/>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171A1B"/>
    <w:pPr>
      <w:spacing w:before="120" w:line="400" w:lineRule="atLeast"/>
    </w:pPr>
    <w:rPr>
      <w:sz w:val="30"/>
      <w:szCs w:val="30"/>
    </w:rPr>
  </w:style>
  <w:style w:type="paragraph" w:styleId="Title">
    <w:name w:val="Title"/>
    <w:basedOn w:val="Normal"/>
    <w:next w:val="Subtitle"/>
    <w:qFormat/>
    <w:rsid w:val="005A3222"/>
    <w:pPr>
      <w:spacing w:before="2722" w:line="520" w:lineRule="atLeast"/>
    </w:pPr>
    <w:rPr>
      <w:rFonts w:ascii="Myriad Pro" w:hAnsi="Myriad Pro" w:cs="Arial"/>
      <w:b/>
      <w:bCs/>
      <w:color w:val="00408A"/>
      <w:kern w:val="28"/>
      <w:sz w:val="44"/>
      <w:szCs w:val="44"/>
    </w:rPr>
  </w:style>
  <w:style w:type="paragraph" w:customStyle="1" w:styleId="Report">
    <w:name w:val="Report"/>
    <w:basedOn w:val="Normal"/>
    <w:semiHidden/>
    <w:rsid w:val="00941203"/>
    <w:pPr>
      <w:spacing w:line="340" w:lineRule="atLeast"/>
    </w:pPr>
    <w:rPr>
      <w:rFonts w:ascii="Myriad Pro" w:hAnsi="Myriad Pro"/>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637305"/>
    <w:pPr>
      <w:spacing w:before="120" w:line="260" w:lineRule="atLeast"/>
      <w:ind w:left="284" w:hanging="284"/>
    </w:pPr>
    <w:rPr>
      <w:sz w:val="19"/>
    </w:rPr>
  </w:style>
  <w:style w:type="paragraph" w:styleId="FootnoteText">
    <w:name w:val="footnote text"/>
    <w:basedOn w:val="Normal"/>
    <w:link w:val="FootnoteTextChar"/>
    <w:uiPriority w:val="99"/>
    <w:rsid w:val="00493FBD"/>
    <w:pPr>
      <w:keepLines/>
      <w:spacing w:line="200" w:lineRule="atLeast"/>
      <w:ind w:left="284" w:hanging="284"/>
      <w:jc w:val="both"/>
    </w:pPr>
    <w:rPr>
      <w:rFonts w:ascii="Book Antiqua" w:hAnsi="Book Antiqua"/>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8809F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F42D4C"/>
    <w:rPr>
      <w:rFonts w:ascii="Myriad Pro" w:hAnsi="Myriad Pro"/>
      <w:b/>
      <w:spacing w:val="0"/>
      <w:position w:val="0"/>
      <w:sz w:val="18"/>
      <w:szCs w:val="15"/>
    </w:rPr>
  </w:style>
  <w:style w:type="paragraph" w:styleId="ListBullet">
    <w:name w:val="List Bullet"/>
    <w:basedOn w:val="BodyText"/>
    <w:link w:val="ListBulletChar"/>
    <w:rsid w:val="00637305"/>
    <w:pPr>
      <w:keepLines/>
      <w:numPr>
        <w:numId w:val="4"/>
      </w:numPr>
      <w:tabs>
        <w:tab w:val="left" w:pos="284"/>
      </w:tabs>
      <w:spacing w:before="120"/>
    </w:pPr>
  </w:style>
  <w:style w:type="paragraph" w:styleId="ListBullet2">
    <w:name w:val="List Bullet 2"/>
    <w:basedOn w:val="ListBullet"/>
    <w:rsid w:val="00376738"/>
    <w:pPr>
      <w:numPr>
        <w:numId w:val="2"/>
      </w:numPr>
      <w:tabs>
        <w:tab w:val="left" w:pos="284"/>
      </w:tabs>
      <w:spacing w:before="60"/>
      <w:ind w:left="568" w:hanging="284"/>
    </w:pPr>
  </w:style>
  <w:style w:type="character" w:customStyle="1" w:styleId="Heading1Char">
    <w:name w:val="Heading 1 Char"/>
    <w:basedOn w:val="DefaultParagraphFont"/>
    <w:link w:val="Heading1"/>
    <w:rsid w:val="00AE168D"/>
    <w:rPr>
      <w:rFonts w:ascii="Myriad Pro" w:hAnsi="Myriad Pro" w:cs="Arial"/>
      <w:b/>
      <w:bCs/>
      <w:color w:val="00408A"/>
      <w:kern w:val="32"/>
      <w:sz w:val="30"/>
      <w:szCs w:val="30"/>
    </w:rPr>
  </w:style>
  <w:style w:type="paragraph" w:styleId="ListNumber">
    <w:name w:val="List Number"/>
    <w:basedOn w:val="ListBullet"/>
    <w:rsid w:val="000D4393"/>
    <w:pPr>
      <w:numPr>
        <w:numId w:val="3"/>
      </w:numPr>
    </w:pPr>
  </w:style>
  <w:style w:type="paragraph" w:styleId="Quote">
    <w:name w:val="Quote"/>
    <w:basedOn w:val="BodyText"/>
    <w:next w:val="BodyText"/>
    <w:qFormat/>
    <w:rsid w:val="00637305"/>
    <w:pPr>
      <w:spacing w:before="120" w:line="260" w:lineRule="atLeast"/>
      <w:ind w:left="284"/>
    </w:pPr>
    <w:rPr>
      <w:sz w:val="19"/>
      <w:szCs w:val="19"/>
    </w:rPr>
  </w:style>
  <w:style w:type="paragraph" w:customStyle="1" w:styleId="ChapterSummary">
    <w:name w:val="Chapter Summary"/>
    <w:basedOn w:val="Normal"/>
    <w:next w:val="BodyText"/>
    <w:semiHidden/>
    <w:rsid w:val="00637305"/>
    <w:pPr>
      <w:spacing w:before="240" w:line="280" w:lineRule="atLeast"/>
      <w:jc w:val="both"/>
    </w:pPr>
    <w:rPr>
      <w:rFonts w:ascii="Myriad Pro" w:hAnsi="Myriad Pro"/>
      <w:b/>
      <w:color w:val="666666"/>
      <w:sz w:val="21"/>
      <w:szCs w:val="21"/>
      <w:lang w:eastAsia="en-US"/>
    </w:rPr>
  </w:style>
  <w:style w:type="paragraph" w:customStyle="1" w:styleId="BoxText">
    <w:name w:val="Box Text"/>
    <w:basedOn w:val="Normal"/>
    <w:rsid w:val="00637305"/>
    <w:pPr>
      <w:spacing w:before="140" w:line="270" w:lineRule="atLeast"/>
      <w:jc w:val="both"/>
    </w:pPr>
    <w:rPr>
      <w:rFonts w:ascii="Myriad Pro" w:hAnsi="Myriad Pro"/>
      <w:sz w:val="20"/>
      <w:szCs w:val="20"/>
    </w:rPr>
  </w:style>
  <w:style w:type="paragraph" w:styleId="Caption">
    <w:name w:val="caption"/>
    <w:basedOn w:val="Normal"/>
    <w:next w:val="Normal"/>
    <w:qFormat/>
    <w:rsid w:val="006E05ED"/>
    <w:pPr>
      <w:spacing w:before="320" w:after="80" w:line="260" w:lineRule="atLeast"/>
      <w:ind w:left="992" w:hanging="992"/>
    </w:pPr>
    <w:rPr>
      <w:rFonts w:ascii="Myriad Pro" w:hAnsi="Myriad Pro"/>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5B2BB5"/>
    <w:pPr>
      <w:spacing w:before="280" w:line="200" w:lineRule="atLeast"/>
    </w:pPr>
    <w:rPr>
      <w:sz w:val="16"/>
      <w:szCs w:val="16"/>
    </w:rPr>
  </w:style>
  <w:style w:type="paragraph" w:customStyle="1" w:styleId="RecommendationNumber">
    <w:name w:val="Recommendation Number"/>
    <w:basedOn w:val="BodyText"/>
    <w:next w:val="BodyText"/>
    <w:rsid w:val="00526E73"/>
    <w:pPr>
      <w:numPr>
        <w:numId w:val="21"/>
      </w:numPr>
      <w:spacing w:before="120"/>
    </w:pPr>
    <w:rPr>
      <w:rFonts w:ascii="Myriad Pro" w:hAnsi="Myriad Pro"/>
      <w:color w:val="00408A"/>
    </w:rPr>
  </w:style>
  <w:style w:type="paragraph" w:customStyle="1" w:styleId="Note">
    <w:name w:val="Note"/>
    <w:basedOn w:val="TableTextEntries"/>
    <w:next w:val="Source"/>
    <w:link w:val="NoteCharChar"/>
    <w:rsid w:val="005E2D3A"/>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5E2D3A"/>
    <w:rPr>
      <w:rFonts w:ascii="Myriad Pro" w:hAnsi="Myriad Pro"/>
      <w:sz w:val="16"/>
      <w:szCs w:val="16"/>
      <w:lang w:eastAsia="en-US"/>
    </w:rPr>
  </w:style>
  <w:style w:type="character" w:customStyle="1" w:styleId="NoteLabel">
    <w:name w:val="Note Label"/>
    <w:basedOn w:val="DefaultParagraphFont"/>
    <w:rsid w:val="00FB1E59"/>
    <w:rPr>
      <w:rFonts w:ascii="Myriad Pro" w:hAnsi="Myriad Pro"/>
      <w:b/>
      <w:color w:val="auto"/>
      <w:spacing w:val="0"/>
      <w:position w:val="4"/>
      <w:sz w:val="16"/>
      <w:szCs w:val="16"/>
    </w:rPr>
  </w:style>
  <w:style w:type="paragraph" w:customStyle="1" w:styleId="Source">
    <w:name w:val="Source"/>
    <w:basedOn w:val="Normal"/>
    <w:next w:val="BodyText"/>
    <w:rsid w:val="00663B4D"/>
    <w:pPr>
      <w:keepLines/>
      <w:spacing w:before="40" w:after="60" w:line="200" w:lineRule="atLeast"/>
    </w:pPr>
    <w:rPr>
      <w:rFonts w:ascii="Myriad Pro" w:hAnsi="Myriad Pro"/>
      <w:sz w:val="16"/>
      <w:szCs w:val="16"/>
      <w:lang w:eastAsia="en-US"/>
    </w:rPr>
  </w:style>
  <w:style w:type="character" w:customStyle="1" w:styleId="Subtitlebox">
    <w:name w:val="Subtitle box"/>
    <w:aliases w:val="chart &amp; table"/>
    <w:basedOn w:val="DefaultParagraphFont"/>
    <w:semiHidden/>
    <w:rsid w:val="00D71778"/>
    <w:rPr>
      <w:rFonts w:ascii="Myriad Pro" w:hAnsi="Myriad Pro"/>
      <w:b/>
      <w:sz w:val="19"/>
      <w:szCs w:val="19"/>
    </w:rPr>
  </w:style>
  <w:style w:type="paragraph" w:customStyle="1" w:styleId="Chart">
    <w:name w:val="Chart"/>
    <w:basedOn w:val="Normal"/>
    <w:semiHidden/>
    <w:rsid w:val="00AE493B"/>
    <w:pPr>
      <w:jc w:val="center"/>
    </w:pPr>
    <w:rPr>
      <w:rFonts w:ascii="Myriad Pro" w:hAnsi="Myriad Pro"/>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376738"/>
    <w:pPr>
      <w:spacing w:before="40" w:line="270" w:lineRule="atLeast"/>
    </w:pPr>
    <w:rPr>
      <w:rFonts w:ascii="Myriad Pro" w:hAnsi="Myriad Pro"/>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C63238"/>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3F2609"/>
    <w:pPr>
      <w:tabs>
        <w:tab w:val="left" w:pos="397"/>
        <w:tab w:val="right" w:pos="7938"/>
      </w:tabs>
      <w:spacing w:before="180" w:line="240" w:lineRule="atLeast"/>
      <w:ind w:left="397" w:right="284" w:hanging="397"/>
    </w:pPr>
    <w:rPr>
      <w:rFonts w:ascii="Myriad Pro" w:hAnsi="Myriad Pro"/>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E07726"/>
    <w:pPr>
      <w:spacing w:before="80" w:after="80"/>
    </w:pPr>
    <w:rPr>
      <w:b/>
    </w:rPr>
  </w:style>
  <w:style w:type="paragraph" w:customStyle="1" w:styleId="TableDataEntries">
    <w:name w:val="Table Data Entries"/>
    <w:basedOn w:val="TableTextEntries"/>
    <w:rsid w:val="00E07726"/>
    <w:pPr>
      <w:jc w:val="right"/>
    </w:pPr>
  </w:style>
  <w:style w:type="paragraph" w:customStyle="1" w:styleId="TableTextEntries">
    <w:name w:val="Table Text Entries"/>
    <w:basedOn w:val="Normal"/>
    <w:rsid w:val="00E07726"/>
    <w:pPr>
      <w:keepLines/>
      <w:spacing w:before="40" w:after="40" w:line="210" w:lineRule="atLeast"/>
    </w:pPr>
    <w:rPr>
      <w:rFonts w:ascii="Myriad Pro" w:hAnsi="Myriad Pro"/>
      <w:sz w:val="19"/>
      <w:szCs w:val="19"/>
      <w:lang w:eastAsia="en-US"/>
    </w:r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022BD0"/>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6E05ED"/>
    <w:pPr>
      <w:spacing w:before="280" w:line="260" w:lineRule="atLeast"/>
    </w:pPr>
    <w:rPr>
      <w:b/>
      <w:lang w:eastAsia="en-US"/>
    </w:rPr>
  </w:style>
  <w:style w:type="paragraph" w:customStyle="1" w:styleId="BoxListBullet">
    <w:name w:val="Box List Bullet"/>
    <w:basedOn w:val="ListBullet"/>
    <w:rsid w:val="00376738"/>
    <w:pPr>
      <w:spacing w:before="80" w:line="270" w:lineRule="atLeast"/>
    </w:pPr>
    <w:rPr>
      <w:rFonts w:ascii="Myriad Pro" w:hAnsi="Myriad Pro"/>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Myriad Pro" w:hAnsi="Myriad Pro"/>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Myriad Pro" w:hAnsi="Myriad Pro"/>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Myriad Pro" w:hAnsi="Myriad Pro"/>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881999"/>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526E73"/>
    <w:pPr>
      <w:numPr>
        <w:numId w:val="20"/>
      </w:numPr>
      <w:spacing w:before="120" w:line="280" w:lineRule="atLeast"/>
      <w:jc w:val="both"/>
    </w:pPr>
    <w:rPr>
      <w:rFonts w:ascii="Myriad Pro" w:hAnsi="Myriad Pro"/>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Myriad Pro" w:hAnsi="Myriad Pro"/>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637305"/>
    <w:pPr>
      <w:spacing w:before="240" w:line="280" w:lineRule="atLeast"/>
      <w:ind w:left="1418" w:hanging="1418"/>
      <w:jc w:val="both"/>
    </w:pPr>
    <w:rPr>
      <w:rFonts w:ascii="Book Antiqua" w:hAnsi="Book Antiqua"/>
      <w:sz w:val="21"/>
      <w:szCs w:val="21"/>
    </w:rPr>
  </w:style>
  <w:style w:type="paragraph" w:customStyle="1" w:styleId="BoxTitle">
    <w:name w:val="Box Title"/>
    <w:basedOn w:val="Caption"/>
    <w:rsid w:val="00936C7B"/>
    <w:pPr>
      <w:keepNext/>
      <w:spacing w:before="140" w:after="60"/>
      <w:ind w:left="907" w:hanging="907"/>
    </w:pPr>
  </w:style>
  <w:style w:type="paragraph" w:customStyle="1" w:styleId="FigureTitle">
    <w:name w:val="Figure Title"/>
    <w:basedOn w:val="Caption"/>
    <w:rsid w:val="00936C7B"/>
    <w:pPr>
      <w:keepNext/>
      <w:ind w:left="1077" w:hanging="1077"/>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0A36BB"/>
    <w:pPr>
      <w:spacing w:before="60" w:line="250" w:lineRule="atLeast"/>
      <w:ind w:left="284"/>
    </w:pPr>
    <w:rPr>
      <w:sz w:val="18"/>
      <w:szCs w:val="18"/>
    </w:rPr>
  </w:style>
  <w:style w:type="paragraph" w:customStyle="1" w:styleId="BodytextIPART">
    <w:name w:val="Body text IPART"/>
    <w:basedOn w:val="BodyText"/>
    <w:next w:val="BodyText"/>
    <w:semiHidden/>
    <w:rsid w:val="00DE2FE3"/>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Myriad Pro" w:hAnsi="Myriad Pro"/>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rsid w:val="00F01ED1"/>
    <w:pPr>
      <w:keepNext/>
      <w:tabs>
        <w:tab w:val="num" w:pos="425"/>
      </w:tabs>
      <w:spacing w:before="480"/>
      <w:ind w:left="425" w:hanging="425"/>
      <w:jc w:val="left"/>
      <w:outlineLvl w:val="0"/>
    </w:pPr>
    <w:rPr>
      <w:rFonts w:ascii="Myriad Pro" w:hAnsi="Myriad Pro"/>
      <w:b/>
      <w:sz w:val="24"/>
      <w:szCs w:val="24"/>
      <w:lang w:eastAsia="en-US"/>
    </w:rPr>
  </w:style>
  <w:style w:type="paragraph" w:customStyle="1" w:styleId="LCHeading2">
    <w:name w:val="LC Heading 2"/>
    <w:basedOn w:val="LCHeading1"/>
    <w:next w:val="BodyText"/>
    <w:rsid w:val="00F01ED1"/>
    <w:pPr>
      <w:spacing w:before="240"/>
      <w:outlineLvl w:val="1"/>
    </w:pPr>
    <w:rPr>
      <w:sz w:val="21"/>
      <w:szCs w:val="21"/>
    </w:rPr>
  </w:style>
  <w:style w:type="paragraph" w:customStyle="1" w:styleId="LCHeading3">
    <w:name w:val="LC Heading 3"/>
    <w:basedOn w:val="BodyText"/>
    <w:rsid w:val="00F01ED1"/>
    <w:pPr>
      <w:tabs>
        <w:tab w:val="num" w:pos="425"/>
      </w:tabs>
      <w:ind w:left="425" w:hanging="425"/>
      <w:outlineLvl w:val="2"/>
    </w:pPr>
    <w:rPr>
      <w:szCs w:val="20"/>
      <w:lang w:eastAsia="en-US"/>
    </w:rPr>
  </w:style>
  <w:style w:type="paragraph" w:customStyle="1" w:styleId="LCHeading4">
    <w:name w:val="LC Heading 4"/>
    <w:basedOn w:val="LCHeading3"/>
    <w:rsid w:val="00F01ED1"/>
    <w:pPr>
      <w:tabs>
        <w:tab w:val="clear" w:pos="425"/>
        <w:tab w:val="num" w:pos="851"/>
      </w:tabs>
      <w:ind w:left="851" w:hanging="426"/>
      <w:outlineLvl w:val="3"/>
    </w:pPr>
  </w:style>
  <w:style w:type="paragraph" w:customStyle="1" w:styleId="LCHeading5">
    <w:name w:val="LC Heading 5"/>
    <w:basedOn w:val="LCHeading4"/>
    <w:rsid w:val="00F01ED1"/>
    <w:pPr>
      <w:tabs>
        <w:tab w:val="clear" w:pos="851"/>
        <w:tab w:val="num" w:pos="1276"/>
      </w:tabs>
      <w:ind w:left="1276" w:hanging="425"/>
      <w:outlineLvl w:val="4"/>
    </w:pPr>
    <w:rPr>
      <w:szCs w:val="21"/>
    </w:rPr>
  </w:style>
  <w:style w:type="paragraph" w:customStyle="1" w:styleId="LCHeading6">
    <w:name w:val="LC Heading 6"/>
    <w:basedOn w:val="LCHeading5"/>
    <w:rsid w:val="00F01ED1"/>
    <w:pPr>
      <w:tabs>
        <w:tab w:val="clear" w:pos="1276"/>
        <w:tab w:val="num" w:pos="1701"/>
      </w:tabs>
      <w:ind w:left="1701"/>
      <w:outlineLvl w:val="5"/>
    </w:pPr>
  </w:style>
  <w:style w:type="character" w:customStyle="1" w:styleId="BodyTextChar">
    <w:name w:val="Body Text Char"/>
    <w:basedOn w:val="DefaultParagraphFont"/>
    <w:link w:val="BodyText"/>
    <w:rsid w:val="001B6961"/>
    <w:rPr>
      <w:rFonts w:ascii="Book Antiqua" w:hAnsi="Book Antiqua"/>
      <w:sz w:val="21"/>
      <w:szCs w:val="21"/>
      <w:lang w:val="en-AU" w:eastAsia="en-AU" w:bidi="ar-SA"/>
    </w:rPr>
  </w:style>
  <w:style w:type="paragraph" w:customStyle="1" w:styleId="NoteNumber">
    <w:name w:val="Note Number"/>
    <w:basedOn w:val="TableTextEntries"/>
    <w:link w:val="NoteNumberCharChar"/>
    <w:rsid w:val="00470EAA"/>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70EAA"/>
    <w:rPr>
      <w:rFonts w:ascii="Myriad Pro" w:hAnsi="Myriad Pro"/>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526E73"/>
    <w:pPr>
      <w:keepNext/>
      <w:jc w:val="left"/>
    </w:pPr>
    <w:rPr>
      <w:rFonts w:ascii="Myriad Pro" w:hAnsi="Myriad Pro"/>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24796"/>
    <w:pPr>
      <w:numPr>
        <w:numId w:val="16"/>
      </w:numPr>
    </w:pPr>
  </w:style>
  <w:style w:type="paragraph" w:customStyle="1" w:styleId="FindingHeading">
    <w:name w:val="Finding Heading"/>
    <w:basedOn w:val="RecommendationHeading"/>
    <w:next w:val="FindingNumber"/>
    <w:rsid w:val="00424796"/>
  </w:style>
  <w:style w:type="paragraph" w:customStyle="1" w:styleId="FindingNumber">
    <w:name w:val="Finding Number"/>
    <w:basedOn w:val="Normal"/>
    <w:next w:val="BodyText"/>
    <w:rsid w:val="00526E73"/>
    <w:pPr>
      <w:numPr>
        <w:numId w:val="22"/>
      </w:numPr>
      <w:spacing w:before="120" w:line="280" w:lineRule="atLeast"/>
      <w:jc w:val="both"/>
    </w:pPr>
    <w:rPr>
      <w:rFonts w:ascii="Myriad Pro" w:hAnsi="Myriad Pro"/>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Myriad Pro" w:hAnsi="Myriad Pro"/>
      <w:sz w:val="21"/>
      <w:szCs w:val="21"/>
    </w:rPr>
  </w:style>
  <w:style w:type="character" w:customStyle="1" w:styleId="Heading2Char">
    <w:name w:val="Heading 2 Char"/>
    <w:basedOn w:val="Heading1Char"/>
    <w:link w:val="Heading2"/>
    <w:rsid w:val="00AE168D"/>
    <w:rPr>
      <w:rFonts w:ascii="Myriad Pro" w:hAnsi="Myriad Pro" w:cs="Arial"/>
      <w:b/>
      <w:bCs w:val="0"/>
      <w:color w:val="00408A"/>
      <w:kern w:val="28"/>
      <w:sz w:val="24"/>
      <w:szCs w:val="24"/>
    </w:rPr>
  </w:style>
  <w:style w:type="character" w:customStyle="1" w:styleId="Heading3Char">
    <w:name w:val="Heading 3 Char"/>
    <w:basedOn w:val="Heading2Char"/>
    <w:link w:val="Heading3"/>
    <w:rsid w:val="00AE168D"/>
    <w:rPr>
      <w:rFonts w:ascii="Myriad Pro" w:hAnsi="Myriad Pro" w:cs="Arial"/>
      <w:b/>
      <w:bCs w:val="0"/>
      <w:color w:val="00408A"/>
      <w:kern w:val="28"/>
      <w:sz w:val="21"/>
      <w:szCs w:val="21"/>
    </w:rPr>
  </w:style>
  <w:style w:type="paragraph" w:customStyle="1" w:styleId="lead4">
    <w:name w:val="lead 4"/>
    <w:basedOn w:val="Normal"/>
    <w:rsid w:val="00D574D6"/>
    <w:pPr>
      <w:keepNext/>
      <w:spacing w:after="60"/>
      <w:jc w:val="both"/>
      <w:outlineLvl w:val="5"/>
    </w:pPr>
    <w:rPr>
      <w:rFonts w:ascii="Arial" w:hAnsi="Arial" w:cs="Arial"/>
      <w:szCs w:val="20"/>
      <w:u w:val="single"/>
      <w:lang w:eastAsia="en-US"/>
    </w:rPr>
  </w:style>
  <w:style w:type="character" w:customStyle="1" w:styleId="ListBulletChar">
    <w:name w:val="List Bullet Char"/>
    <w:basedOn w:val="BodyTextChar"/>
    <w:link w:val="ListBullet"/>
    <w:rsid w:val="00890BE0"/>
    <w:rPr>
      <w:rFonts w:ascii="Book Antiqua" w:hAnsi="Book Antiqua"/>
      <w:sz w:val="21"/>
      <w:szCs w:val="21"/>
      <w:lang w:val="en-AU" w:eastAsia="en-AU" w:bidi="ar-SA"/>
    </w:rPr>
  </w:style>
  <w:style w:type="paragraph" w:customStyle="1" w:styleId="Eh">
    <w:name w:val="Eh"/>
    <w:basedOn w:val="BodyText"/>
    <w:rsid w:val="00E56758"/>
    <w:pPr>
      <w:spacing w:before="200"/>
    </w:pPr>
  </w:style>
  <w:style w:type="character" w:customStyle="1" w:styleId="FootnoteTextChar">
    <w:name w:val="Footnote Text Char"/>
    <w:link w:val="FootnoteText"/>
    <w:uiPriority w:val="99"/>
    <w:rsid w:val="00183E25"/>
    <w:rPr>
      <w:rFonts w:ascii="Book Antiqua" w:hAnsi="Book Antiqua"/>
      <w:sz w:val="18"/>
      <w:szCs w:val="17"/>
    </w:rPr>
  </w:style>
  <w:style w:type="paragraph" w:customStyle="1" w:styleId="Default">
    <w:name w:val="Default"/>
    <w:rsid w:val="00836CDD"/>
    <w:pPr>
      <w:autoSpaceDE w:val="0"/>
      <w:autoSpaceDN w:val="0"/>
      <w:adjustRightInd w:val="0"/>
    </w:pPr>
    <w:rPr>
      <w:rFonts w:ascii="Book Antiqua" w:eastAsiaTheme="minorHAnsi" w:hAnsi="Book Antiqua" w:cs="Book Antiqua"/>
      <w:color w:val="000000"/>
      <w:sz w:val="24"/>
      <w:szCs w:val="24"/>
      <w:lang w:eastAsia="en-US"/>
    </w:rPr>
  </w:style>
  <w:style w:type="paragraph" w:styleId="ListParagraph">
    <w:name w:val="List Paragraph"/>
    <w:basedOn w:val="Normal"/>
    <w:uiPriority w:val="34"/>
    <w:qFormat/>
    <w:rsid w:val="00A83465"/>
    <w:pPr>
      <w:ind w:left="720"/>
      <w:contextualSpacing/>
    </w:pPr>
  </w:style>
  <w:style w:type="character" w:customStyle="1" w:styleId="StandardbodytextChar">
    <w:name w:val="Standard body text Char"/>
    <w:basedOn w:val="DefaultParagraphFont"/>
    <w:link w:val="Standardbodytext"/>
    <w:locked/>
    <w:rsid w:val="00A37361"/>
    <w:rPr>
      <w:rFonts w:ascii="Arial" w:hAnsi="Arial" w:cs="Arial"/>
    </w:rPr>
  </w:style>
  <w:style w:type="paragraph" w:customStyle="1" w:styleId="Standardbodytext">
    <w:name w:val="Standard body text"/>
    <w:basedOn w:val="Normal"/>
    <w:link w:val="StandardbodytextChar"/>
    <w:qFormat/>
    <w:rsid w:val="00A37361"/>
    <w:pPr>
      <w:spacing w:before="200" w:after="200" w:line="276" w:lineRule="auto"/>
      <w:ind w:right="163"/>
    </w:pPr>
    <w:rPr>
      <w:rFonts w:ascii="Arial" w:hAnsi="Arial" w:cs="Arial"/>
      <w:sz w:val="20"/>
      <w:szCs w:val="20"/>
    </w:rPr>
  </w:style>
  <w:style w:type="character" w:customStyle="1" w:styleId="FootnotesChar">
    <w:name w:val="Footnotes Char"/>
    <w:basedOn w:val="DefaultParagraphFont"/>
    <w:link w:val="Footnotes"/>
    <w:locked/>
    <w:rsid w:val="00A37361"/>
    <w:rPr>
      <w:rFonts w:ascii="Arial" w:eastAsia="Calibri" w:hAnsi="Arial" w:cs="Arial"/>
      <w:sz w:val="18"/>
    </w:rPr>
  </w:style>
  <w:style w:type="paragraph" w:customStyle="1" w:styleId="Footnotes">
    <w:name w:val="Footnotes"/>
    <w:basedOn w:val="FootnoteText"/>
    <w:link w:val="FootnotesChar"/>
    <w:qFormat/>
    <w:rsid w:val="00A37361"/>
    <w:pPr>
      <w:keepLines w:val="0"/>
      <w:spacing w:line="240" w:lineRule="auto"/>
      <w:ind w:left="709" w:hanging="709"/>
      <w:jc w:val="left"/>
    </w:pPr>
    <w:rPr>
      <w:rFonts w:ascii="Arial" w:eastAsia="Calibri" w:hAnsi="Arial" w:cs="Arial"/>
      <w:szCs w:val="20"/>
    </w:rPr>
  </w:style>
  <w:style w:type="table" w:customStyle="1" w:styleId="2013WRITable">
    <w:name w:val="2013 WRI Table"/>
    <w:basedOn w:val="TableNormal"/>
    <w:uiPriority w:val="99"/>
    <w:rsid w:val="00A37361"/>
    <w:pPr>
      <w:spacing w:line="276" w:lineRule="auto"/>
      <w:contextualSpacing/>
    </w:pPr>
    <w:rPr>
      <w:rFonts w:ascii="Arial" w:eastAsiaTheme="minorEastAsia" w:hAnsi="Arial" w:cstheme="minorBidi"/>
      <w:szCs w:val="24"/>
      <w:lang w:eastAsia="en-US"/>
    </w:rPr>
    <w:tblPr>
      <w:tblStyleRowBandSize w:val="1"/>
      <w:tblInd w:w="0" w:type="dxa"/>
      <w:tblCellMar>
        <w:top w:w="0" w:type="dxa"/>
        <w:left w:w="108" w:type="dxa"/>
        <w:bottom w:w="0" w:type="dxa"/>
        <w:right w:w="108" w:type="dxa"/>
      </w:tblCellMar>
    </w:tblPr>
    <w:tblStylePr w:type="firstRow">
      <w:pPr>
        <w:wordWrap/>
        <w:spacing w:beforeLines="0" w:before="100" w:beforeAutospacing="1" w:afterLines="0" w:after="100" w:afterAutospacing="1" w:line="276" w:lineRule="auto"/>
        <w:contextualSpacing/>
      </w:pPr>
      <w:rPr>
        <w:color w:val="FFFFFF" w:themeColor="background1"/>
      </w:rPr>
      <w:tblPr/>
      <w:tcPr>
        <w:tcBorders>
          <w:top w:val="single" w:sz="4" w:space="0" w:color="F79646"/>
          <w:left w:val="single" w:sz="4" w:space="0" w:color="F79646"/>
          <w:bottom w:val="single" w:sz="4" w:space="0" w:color="F79646"/>
          <w:right w:val="single" w:sz="4" w:space="0" w:color="F79646"/>
        </w:tcBorders>
        <w:shd w:val="clear" w:color="auto" w:fill="F79646" w:themeFill="accent6"/>
      </w:tcPr>
    </w:tblStylePr>
    <w:tblStylePr w:type="lastCol">
      <w:pPr>
        <w:wordWrap/>
        <w:spacing w:beforeLines="0" w:before="100" w:beforeAutospacing="1" w:afterLines="0" w:after="100" w:afterAutospacing="1" w:line="276" w:lineRule="auto"/>
        <w:contextualSpacing/>
      </w:pPr>
    </w:tblStylePr>
    <w:tblStylePr w:type="band1Horz">
      <w:rPr>
        <w:rFonts w:ascii="Arial" w:hAnsi="Arial" w:cs="Arial" w:hint="default"/>
        <w:sz w:val="20"/>
        <w:szCs w:val="20"/>
      </w:rPr>
      <w:tblPr/>
      <w:tcPr>
        <w:tcBorders>
          <w:top w:val="single" w:sz="4" w:space="0" w:color="F79646"/>
          <w:left w:val="single" w:sz="4" w:space="0" w:color="F79646"/>
          <w:bottom w:val="single" w:sz="4" w:space="0" w:color="F79646"/>
          <w:right w:val="single" w:sz="4" w:space="0" w:color="F79646"/>
        </w:tcBorders>
      </w:tcPr>
    </w:tblStylePr>
    <w:tblStylePr w:type="band2Horz">
      <w:rPr>
        <w:rFonts w:ascii="Arial" w:hAnsi="Arial" w:cs="Arial" w:hint="default"/>
        <w:sz w:val="20"/>
        <w:szCs w:val="20"/>
      </w:rPr>
      <w:tblPr/>
      <w:tcPr>
        <w:tcBorders>
          <w:top w:val="single" w:sz="4" w:space="0" w:color="F79646"/>
          <w:left w:val="single" w:sz="4" w:space="0" w:color="F79646"/>
          <w:bottom w:val="single" w:sz="4" w:space="0" w:color="F79646"/>
          <w:right w:val="single" w:sz="4" w:space="0" w:color="F79646"/>
        </w:tcBorders>
      </w:tcPr>
    </w:tblStylePr>
  </w:style>
  <w:style w:type="paragraph" w:customStyle="1" w:styleId="BulletL1">
    <w:name w:val="Bullet L1"/>
    <w:uiPriority w:val="1"/>
    <w:qFormat/>
    <w:rsid w:val="00F17129"/>
    <w:pPr>
      <w:numPr>
        <w:numId w:val="46"/>
      </w:numPr>
      <w:spacing w:before="120" w:after="120" w:line="260" w:lineRule="atLeast"/>
    </w:pPr>
    <w:rPr>
      <w:rFonts w:asciiTheme="minorHAnsi" w:eastAsiaTheme="minorEastAsia" w:hAnsiTheme="minorHAnsi" w:cstheme="minorBidi"/>
      <w:sz w:val="22"/>
      <w:lang w:eastAsia="en-GB"/>
    </w:rPr>
  </w:style>
  <w:style w:type="paragraph" w:customStyle="1" w:styleId="BulletL2">
    <w:name w:val="Bullet L2"/>
    <w:uiPriority w:val="1"/>
    <w:qFormat/>
    <w:rsid w:val="00F17129"/>
    <w:pPr>
      <w:numPr>
        <w:ilvl w:val="1"/>
        <w:numId w:val="46"/>
      </w:numPr>
      <w:spacing w:before="120" w:after="120" w:line="260" w:lineRule="atLeast"/>
    </w:pPr>
    <w:rPr>
      <w:rFonts w:asciiTheme="minorHAnsi" w:eastAsiaTheme="minorEastAsia" w:hAnsiTheme="minorHAnsi" w:cstheme="minorBidi"/>
      <w:sz w:val="22"/>
      <w:lang w:eastAsia="en-GB"/>
    </w:rPr>
  </w:style>
  <w:style w:type="paragraph" w:customStyle="1" w:styleId="BulletL3">
    <w:name w:val="Bullet L3"/>
    <w:uiPriority w:val="1"/>
    <w:rsid w:val="00F17129"/>
    <w:pPr>
      <w:numPr>
        <w:ilvl w:val="2"/>
        <w:numId w:val="46"/>
      </w:numPr>
      <w:spacing w:before="120" w:after="120" w:line="260" w:lineRule="atLeast"/>
    </w:pPr>
    <w:rPr>
      <w:rFonts w:asciiTheme="minorHAnsi" w:eastAsiaTheme="minorEastAsia" w:hAnsiTheme="minorHAnsi" w:cstheme="minorBidi"/>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28C"/>
    <w:rPr>
      <w:sz w:val="24"/>
      <w:szCs w:val="24"/>
    </w:rPr>
  </w:style>
  <w:style w:type="paragraph" w:styleId="Heading1">
    <w:name w:val="heading 1"/>
    <w:basedOn w:val="Normal"/>
    <w:next w:val="BodyText"/>
    <w:link w:val="Heading1Char"/>
    <w:qFormat/>
    <w:rsid w:val="004D50DA"/>
    <w:pPr>
      <w:keepNext/>
      <w:numPr>
        <w:numId w:val="1"/>
      </w:numPr>
      <w:spacing w:before="720" w:after="60" w:line="400" w:lineRule="atLeast"/>
      <w:outlineLvl w:val="0"/>
    </w:pPr>
    <w:rPr>
      <w:rFonts w:ascii="Myriad Pro" w:hAnsi="Myriad Pro"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link w:val="Heading3Char"/>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D50DA"/>
    <w:pPr>
      <w:numPr>
        <w:ilvl w:val="3"/>
      </w:numPr>
      <w:spacing w:before="360"/>
      <w:outlineLvl w:val="3"/>
    </w:pPr>
    <w:rPr>
      <w:b w:val="0"/>
    </w:rPr>
  </w:style>
  <w:style w:type="paragraph" w:styleId="Heading5">
    <w:name w:val="heading 5"/>
    <w:basedOn w:val="BodyText"/>
    <w:next w:val="BodyText"/>
    <w:qFormat/>
    <w:rsid w:val="004D50DA"/>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D50DA"/>
    <w:pPr>
      <w:numPr>
        <w:ilvl w:val="7"/>
      </w:numPr>
      <w:outlineLvl w:val="7"/>
    </w:p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265"/>
    <w:pPr>
      <w:spacing w:before="240" w:line="280" w:lineRule="atLeast"/>
      <w:jc w:val="both"/>
    </w:pPr>
    <w:rPr>
      <w:rFonts w:ascii="Book Antiqua" w:hAnsi="Book Antiqua"/>
      <w:sz w:val="21"/>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171A1B"/>
    <w:pPr>
      <w:spacing w:before="120" w:line="400" w:lineRule="atLeast"/>
    </w:pPr>
    <w:rPr>
      <w:sz w:val="30"/>
      <w:szCs w:val="30"/>
    </w:rPr>
  </w:style>
  <w:style w:type="paragraph" w:styleId="Title">
    <w:name w:val="Title"/>
    <w:basedOn w:val="Normal"/>
    <w:next w:val="Subtitle"/>
    <w:qFormat/>
    <w:rsid w:val="005A3222"/>
    <w:pPr>
      <w:spacing w:before="2722" w:line="520" w:lineRule="atLeast"/>
    </w:pPr>
    <w:rPr>
      <w:rFonts w:ascii="Myriad Pro" w:hAnsi="Myriad Pro" w:cs="Arial"/>
      <w:b/>
      <w:bCs/>
      <w:color w:val="00408A"/>
      <w:kern w:val="28"/>
      <w:sz w:val="44"/>
      <w:szCs w:val="44"/>
    </w:rPr>
  </w:style>
  <w:style w:type="paragraph" w:customStyle="1" w:styleId="Report">
    <w:name w:val="Report"/>
    <w:basedOn w:val="Normal"/>
    <w:semiHidden/>
    <w:rsid w:val="00941203"/>
    <w:pPr>
      <w:spacing w:line="340" w:lineRule="atLeast"/>
    </w:pPr>
    <w:rPr>
      <w:rFonts w:ascii="Myriad Pro" w:hAnsi="Myriad Pro"/>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637305"/>
    <w:pPr>
      <w:spacing w:before="120" w:line="260" w:lineRule="atLeast"/>
      <w:ind w:left="284" w:hanging="284"/>
    </w:pPr>
    <w:rPr>
      <w:sz w:val="19"/>
    </w:rPr>
  </w:style>
  <w:style w:type="paragraph" w:styleId="FootnoteText">
    <w:name w:val="footnote text"/>
    <w:basedOn w:val="Normal"/>
    <w:link w:val="FootnoteTextChar"/>
    <w:uiPriority w:val="99"/>
    <w:rsid w:val="00493FBD"/>
    <w:pPr>
      <w:keepLines/>
      <w:spacing w:line="200" w:lineRule="atLeast"/>
      <w:ind w:left="284" w:hanging="284"/>
      <w:jc w:val="both"/>
    </w:pPr>
    <w:rPr>
      <w:rFonts w:ascii="Book Antiqua" w:hAnsi="Book Antiqua"/>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8809F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F42D4C"/>
    <w:rPr>
      <w:rFonts w:ascii="Myriad Pro" w:hAnsi="Myriad Pro"/>
      <w:b/>
      <w:spacing w:val="0"/>
      <w:position w:val="0"/>
      <w:sz w:val="18"/>
      <w:szCs w:val="15"/>
    </w:rPr>
  </w:style>
  <w:style w:type="paragraph" w:styleId="ListBullet">
    <w:name w:val="List Bullet"/>
    <w:basedOn w:val="BodyText"/>
    <w:link w:val="ListBulletChar"/>
    <w:rsid w:val="00637305"/>
    <w:pPr>
      <w:keepLines/>
      <w:numPr>
        <w:numId w:val="4"/>
      </w:numPr>
      <w:tabs>
        <w:tab w:val="left" w:pos="284"/>
      </w:tabs>
      <w:spacing w:before="120"/>
    </w:pPr>
  </w:style>
  <w:style w:type="paragraph" w:styleId="ListBullet2">
    <w:name w:val="List Bullet 2"/>
    <w:basedOn w:val="ListBullet"/>
    <w:rsid w:val="00376738"/>
    <w:pPr>
      <w:numPr>
        <w:numId w:val="2"/>
      </w:numPr>
      <w:tabs>
        <w:tab w:val="left" w:pos="284"/>
      </w:tabs>
      <w:spacing w:before="60"/>
      <w:ind w:left="568" w:hanging="284"/>
    </w:pPr>
  </w:style>
  <w:style w:type="character" w:customStyle="1" w:styleId="Heading1Char">
    <w:name w:val="Heading 1 Char"/>
    <w:basedOn w:val="DefaultParagraphFont"/>
    <w:link w:val="Heading1"/>
    <w:rsid w:val="00AE168D"/>
    <w:rPr>
      <w:rFonts w:ascii="Myriad Pro" w:hAnsi="Myriad Pro" w:cs="Arial"/>
      <w:b/>
      <w:bCs/>
      <w:color w:val="00408A"/>
      <w:kern w:val="32"/>
      <w:sz w:val="30"/>
      <w:szCs w:val="30"/>
    </w:rPr>
  </w:style>
  <w:style w:type="paragraph" w:styleId="ListNumber">
    <w:name w:val="List Number"/>
    <w:basedOn w:val="ListBullet"/>
    <w:rsid w:val="000D4393"/>
    <w:pPr>
      <w:numPr>
        <w:numId w:val="3"/>
      </w:numPr>
    </w:pPr>
  </w:style>
  <w:style w:type="paragraph" w:styleId="Quote">
    <w:name w:val="Quote"/>
    <w:basedOn w:val="BodyText"/>
    <w:next w:val="BodyText"/>
    <w:qFormat/>
    <w:rsid w:val="00637305"/>
    <w:pPr>
      <w:spacing w:before="120" w:line="260" w:lineRule="atLeast"/>
      <w:ind w:left="284"/>
    </w:pPr>
    <w:rPr>
      <w:sz w:val="19"/>
      <w:szCs w:val="19"/>
    </w:rPr>
  </w:style>
  <w:style w:type="paragraph" w:customStyle="1" w:styleId="ChapterSummary">
    <w:name w:val="Chapter Summary"/>
    <w:basedOn w:val="Normal"/>
    <w:next w:val="BodyText"/>
    <w:semiHidden/>
    <w:rsid w:val="00637305"/>
    <w:pPr>
      <w:spacing w:before="240" w:line="280" w:lineRule="atLeast"/>
      <w:jc w:val="both"/>
    </w:pPr>
    <w:rPr>
      <w:rFonts w:ascii="Myriad Pro" w:hAnsi="Myriad Pro"/>
      <w:b/>
      <w:color w:val="666666"/>
      <w:sz w:val="21"/>
      <w:szCs w:val="21"/>
      <w:lang w:eastAsia="en-US"/>
    </w:rPr>
  </w:style>
  <w:style w:type="paragraph" w:customStyle="1" w:styleId="BoxText">
    <w:name w:val="Box Text"/>
    <w:basedOn w:val="Normal"/>
    <w:rsid w:val="00637305"/>
    <w:pPr>
      <w:spacing w:before="140" w:line="270" w:lineRule="atLeast"/>
      <w:jc w:val="both"/>
    </w:pPr>
    <w:rPr>
      <w:rFonts w:ascii="Myriad Pro" w:hAnsi="Myriad Pro"/>
      <w:sz w:val="20"/>
      <w:szCs w:val="20"/>
    </w:rPr>
  </w:style>
  <w:style w:type="paragraph" w:styleId="Caption">
    <w:name w:val="caption"/>
    <w:basedOn w:val="Normal"/>
    <w:next w:val="Normal"/>
    <w:qFormat/>
    <w:rsid w:val="006E05ED"/>
    <w:pPr>
      <w:spacing w:before="320" w:after="80" w:line="260" w:lineRule="atLeast"/>
      <w:ind w:left="992" w:hanging="992"/>
    </w:pPr>
    <w:rPr>
      <w:rFonts w:ascii="Myriad Pro" w:hAnsi="Myriad Pro"/>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5B2BB5"/>
    <w:pPr>
      <w:spacing w:before="280" w:line="200" w:lineRule="atLeast"/>
    </w:pPr>
    <w:rPr>
      <w:sz w:val="16"/>
      <w:szCs w:val="16"/>
    </w:rPr>
  </w:style>
  <w:style w:type="paragraph" w:customStyle="1" w:styleId="RecommendationNumber">
    <w:name w:val="Recommendation Number"/>
    <w:basedOn w:val="BodyText"/>
    <w:next w:val="BodyText"/>
    <w:rsid w:val="00526E73"/>
    <w:pPr>
      <w:numPr>
        <w:numId w:val="21"/>
      </w:numPr>
      <w:spacing w:before="120"/>
    </w:pPr>
    <w:rPr>
      <w:rFonts w:ascii="Myriad Pro" w:hAnsi="Myriad Pro"/>
      <w:color w:val="00408A"/>
    </w:rPr>
  </w:style>
  <w:style w:type="paragraph" w:customStyle="1" w:styleId="Note">
    <w:name w:val="Note"/>
    <w:basedOn w:val="TableTextEntries"/>
    <w:next w:val="Source"/>
    <w:link w:val="NoteCharChar"/>
    <w:rsid w:val="005E2D3A"/>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5E2D3A"/>
    <w:rPr>
      <w:rFonts w:ascii="Myriad Pro" w:hAnsi="Myriad Pro"/>
      <w:sz w:val="16"/>
      <w:szCs w:val="16"/>
      <w:lang w:eastAsia="en-US"/>
    </w:rPr>
  </w:style>
  <w:style w:type="character" w:customStyle="1" w:styleId="NoteLabel">
    <w:name w:val="Note Label"/>
    <w:basedOn w:val="DefaultParagraphFont"/>
    <w:rsid w:val="00FB1E59"/>
    <w:rPr>
      <w:rFonts w:ascii="Myriad Pro" w:hAnsi="Myriad Pro"/>
      <w:b/>
      <w:color w:val="auto"/>
      <w:spacing w:val="0"/>
      <w:position w:val="4"/>
      <w:sz w:val="16"/>
      <w:szCs w:val="16"/>
    </w:rPr>
  </w:style>
  <w:style w:type="paragraph" w:customStyle="1" w:styleId="Source">
    <w:name w:val="Source"/>
    <w:basedOn w:val="Normal"/>
    <w:next w:val="BodyText"/>
    <w:rsid w:val="00663B4D"/>
    <w:pPr>
      <w:keepLines/>
      <w:spacing w:before="40" w:after="60" w:line="200" w:lineRule="atLeast"/>
    </w:pPr>
    <w:rPr>
      <w:rFonts w:ascii="Myriad Pro" w:hAnsi="Myriad Pro"/>
      <w:sz w:val="16"/>
      <w:szCs w:val="16"/>
      <w:lang w:eastAsia="en-US"/>
    </w:rPr>
  </w:style>
  <w:style w:type="character" w:customStyle="1" w:styleId="Subtitlebox">
    <w:name w:val="Subtitle box"/>
    <w:aliases w:val="chart &amp; table"/>
    <w:basedOn w:val="DefaultParagraphFont"/>
    <w:semiHidden/>
    <w:rsid w:val="00D71778"/>
    <w:rPr>
      <w:rFonts w:ascii="Myriad Pro" w:hAnsi="Myriad Pro"/>
      <w:b/>
      <w:sz w:val="19"/>
      <w:szCs w:val="19"/>
    </w:rPr>
  </w:style>
  <w:style w:type="paragraph" w:customStyle="1" w:styleId="Chart">
    <w:name w:val="Chart"/>
    <w:basedOn w:val="Normal"/>
    <w:semiHidden/>
    <w:rsid w:val="00AE493B"/>
    <w:pPr>
      <w:jc w:val="center"/>
    </w:pPr>
    <w:rPr>
      <w:rFonts w:ascii="Myriad Pro" w:hAnsi="Myriad Pro"/>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376738"/>
    <w:pPr>
      <w:spacing w:before="40" w:line="270" w:lineRule="atLeast"/>
    </w:pPr>
    <w:rPr>
      <w:rFonts w:ascii="Myriad Pro" w:hAnsi="Myriad Pro"/>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C63238"/>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3F2609"/>
    <w:pPr>
      <w:tabs>
        <w:tab w:val="left" w:pos="397"/>
        <w:tab w:val="right" w:pos="7938"/>
      </w:tabs>
      <w:spacing w:before="180" w:line="240" w:lineRule="atLeast"/>
      <w:ind w:left="397" w:right="284" w:hanging="397"/>
    </w:pPr>
    <w:rPr>
      <w:rFonts w:ascii="Myriad Pro" w:hAnsi="Myriad Pro"/>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E07726"/>
    <w:pPr>
      <w:spacing w:before="80" w:after="80"/>
    </w:pPr>
    <w:rPr>
      <w:b/>
    </w:rPr>
  </w:style>
  <w:style w:type="paragraph" w:customStyle="1" w:styleId="TableDataEntries">
    <w:name w:val="Table Data Entries"/>
    <w:basedOn w:val="TableTextEntries"/>
    <w:rsid w:val="00E07726"/>
    <w:pPr>
      <w:jc w:val="right"/>
    </w:pPr>
  </w:style>
  <w:style w:type="paragraph" w:customStyle="1" w:styleId="TableTextEntries">
    <w:name w:val="Table Text Entries"/>
    <w:basedOn w:val="Normal"/>
    <w:rsid w:val="00E07726"/>
    <w:pPr>
      <w:keepLines/>
      <w:spacing w:before="40" w:after="40" w:line="210" w:lineRule="atLeast"/>
    </w:pPr>
    <w:rPr>
      <w:rFonts w:ascii="Myriad Pro" w:hAnsi="Myriad Pro"/>
      <w:sz w:val="19"/>
      <w:szCs w:val="19"/>
      <w:lang w:eastAsia="en-US"/>
    </w:r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022BD0"/>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6E05ED"/>
    <w:pPr>
      <w:spacing w:before="280" w:line="260" w:lineRule="atLeast"/>
    </w:pPr>
    <w:rPr>
      <w:b/>
      <w:lang w:eastAsia="en-US"/>
    </w:rPr>
  </w:style>
  <w:style w:type="paragraph" w:customStyle="1" w:styleId="BoxListBullet">
    <w:name w:val="Box List Bullet"/>
    <w:basedOn w:val="ListBullet"/>
    <w:rsid w:val="00376738"/>
    <w:pPr>
      <w:spacing w:before="80" w:line="270" w:lineRule="atLeast"/>
    </w:pPr>
    <w:rPr>
      <w:rFonts w:ascii="Myriad Pro" w:hAnsi="Myriad Pro"/>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Myriad Pro" w:hAnsi="Myriad Pro"/>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Myriad Pro" w:hAnsi="Myriad Pro"/>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Myriad Pro" w:hAnsi="Myriad Pro"/>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881999"/>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526E73"/>
    <w:pPr>
      <w:numPr>
        <w:numId w:val="20"/>
      </w:numPr>
      <w:spacing w:before="120" w:line="280" w:lineRule="atLeast"/>
      <w:jc w:val="both"/>
    </w:pPr>
    <w:rPr>
      <w:rFonts w:ascii="Myriad Pro" w:hAnsi="Myriad Pro"/>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Myriad Pro" w:hAnsi="Myriad Pro"/>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637305"/>
    <w:pPr>
      <w:spacing w:before="240" w:line="280" w:lineRule="atLeast"/>
      <w:ind w:left="1418" w:hanging="1418"/>
      <w:jc w:val="both"/>
    </w:pPr>
    <w:rPr>
      <w:rFonts w:ascii="Book Antiqua" w:hAnsi="Book Antiqua"/>
      <w:sz w:val="21"/>
      <w:szCs w:val="21"/>
    </w:rPr>
  </w:style>
  <w:style w:type="paragraph" w:customStyle="1" w:styleId="BoxTitle">
    <w:name w:val="Box Title"/>
    <w:basedOn w:val="Caption"/>
    <w:rsid w:val="00936C7B"/>
    <w:pPr>
      <w:keepNext/>
      <w:spacing w:before="140" w:after="60"/>
      <w:ind w:left="907" w:hanging="907"/>
    </w:pPr>
  </w:style>
  <w:style w:type="paragraph" w:customStyle="1" w:styleId="FigureTitle">
    <w:name w:val="Figure Title"/>
    <w:basedOn w:val="Caption"/>
    <w:rsid w:val="00936C7B"/>
    <w:pPr>
      <w:keepNext/>
      <w:ind w:left="1077" w:hanging="1077"/>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0A36BB"/>
    <w:pPr>
      <w:spacing w:before="60" w:line="250" w:lineRule="atLeast"/>
      <w:ind w:left="284"/>
    </w:pPr>
    <w:rPr>
      <w:sz w:val="18"/>
      <w:szCs w:val="18"/>
    </w:rPr>
  </w:style>
  <w:style w:type="paragraph" w:customStyle="1" w:styleId="BodytextIPART">
    <w:name w:val="Body text IPART"/>
    <w:basedOn w:val="BodyText"/>
    <w:next w:val="BodyText"/>
    <w:semiHidden/>
    <w:rsid w:val="00DE2FE3"/>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Myriad Pro" w:hAnsi="Myriad Pro"/>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rsid w:val="00F01ED1"/>
    <w:pPr>
      <w:keepNext/>
      <w:tabs>
        <w:tab w:val="num" w:pos="425"/>
      </w:tabs>
      <w:spacing w:before="480"/>
      <w:ind w:left="425" w:hanging="425"/>
      <w:jc w:val="left"/>
      <w:outlineLvl w:val="0"/>
    </w:pPr>
    <w:rPr>
      <w:rFonts w:ascii="Myriad Pro" w:hAnsi="Myriad Pro"/>
      <w:b/>
      <w:sz w:val="24"/>
      <w:szCs w:val="24"/>
      <w:lang w:eastAsia="en-US"/>
    </w:rPr>
  </w:style>
  <w:style w:type="paragraph" w:customStyle="1" w:styleId="LCHeading2">
    <w:name w:val="LC Heading 2"/>
    <w:basedOn w:val="LCHeading1"/>
    <w:next w:val="BodyText"/>
    <w:rsid w:val="00F01ED1"/>
    <w:pPr>
      <w:spacing w:before="240"/>
      <w:outlineLvl w:val="1"/>
    </w:pPr>
    <w:rPr>
      <w:sz w:val="21"/>
      <w:szCs w:val="21"/>
    </w:rPr>
  </w:style>
  <w:style w:type="paragraph" w:customStyle="1" w:styleId="LCHeading3">
    <w:name w:val="LC Heading 3"/>
    <w:basedOn w:val="BodyText"/>
    <w:rsid w:val="00F01ED1"/>
    <w:pPr>
      <w:tabs>
        <w:tab w:val="num" w:pos="425"/>
      </w:tabs>
      <w:ind w:left="425" w:hanging="425"/>
      <w:outlineLvl w:val="2"/>
    </w:pPr>
    <w:rPr>
      <w:szCs w:val="20"/>
      <w:lang w:eastAsia="en-US"/>
    </w:rPr>
  </w:style>
  <w:style w:type="paragraph" w:customStyle="1" w:styleId="LCHeading4">
    <w:name w:val="LC Heading 4"/>
    <w:basedOn w:val="LCHeading3"/>
    <w:rsid w:val="00F01ED1"/>
    <w:pPr>
      <w:tabs>
        <w:tab w:val="clear" w:pos="425"/>
        <w:tab w:val="num" w:pos="851"/>
      </w:tabs>
      <w:ind w:left="851" w:hanging="426"/>
      <w:outlineLvl w:val="3"/>
    </w:pPr>
  </w:style>
  <w:style w:type="paragraph" w:customStyle="1" w:styleId="LCHeading5">
    <w:name w:val="LC Heading 5"/>
    <w:basedOn w:val="LCHeading4"/>
    <w:rsid w:val="00F01ED1"/>
    <w:pPr>
      <w:tabs>
        <w:tab w:val="clear" w:pos="851"/>
        <w:tab w:val="num" w:pos="1276"/>
      </w:tabs>
      <w:ind w:left="1276" w:hanging="425"/>
      <w:outlineLvl w:val="4"/>
    </w:pPr>
    <w:rPr>
      <w:szCs w:val="21"/>
    </w:rPr>
  </w:style>
  <w:style w:type="paragraph" w:customStyle="1" w:styleId="LCHeading6">
    <w:name w:val="LC Heading 6"/>
    <w:basedOn w:val="LCHeading5"/>
    <w:rsid w:val="00F01ED1"/>
    <w:pPr>
      <w:tabs>
        <w:tab w:val="clear" w:pos="1276"/>
        <w:tab w:val="num" w:pos="1701"/>
      </w:tabs>
      <w:ind w:left="1701"/>
      <w:outlineLvl w:val="5"/>
    </w:pPr>
  </w:style>
  <w:style w:type="character" w:customStyle="1" w:styleId="BodyTextChar">
    <w:name w:val="Body Text Char"/>
    <w:basedOn w:val="DefaultParagraphFont"/>
    <w:link w:val="BodyText"/>
    <w:rsid w:val="001B6961"/>
    <w:rPr>
      <w:rFonts w:ascii="Book Antiqua" w:hAnsi="Book Antiqua"/>
      <w:sz w:val="21"/>
      <w:szCs w:val="21"/>
      <w:lang w:val="en-AU" w:eastAsia="en-AU" w:bidi="ar-SA"/>
    </w:rPr>
  </w:style>
  <w:style w:type="paragraph" w:customStyle="1" w:styleId="NoteNumber">
    <w:name w:val="Note Number"/>
    <w:basedOn w:val="TableTextEntries"/>
    <w:link w:val="NoteNumberCharChar"/>
    <w:rsid w:val="00470EAA"/>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70EAA"/>
    <w:rPr>
      <w:rFonts w:ascii="Myriad Pro" w:hAnsi="Myriad Pro"/>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526E73"/>
    <w:pPr>
      <w:keepNext/>
      <w:jc w:val="left"/>
    </w:pPr>
    <w:rPr>
      <w:rFonts w:ascii="Myriad Pro" w:hAnsi="Myriad Pro"/>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24796"/>
    <w:pPr>
      <w:numPr>
        <w:numId w:val="16"/>
      </w:numPr>
    </w:pPr>
  </w:style>
  <w:style w:type="paragraph" w:customStyle="1" w:styleId="FindingHeading">
    <w:name w:val="Finding Heading"/>
    <w:basedOn w:val="RecommendationHeading"/>
    <w:next w:val="FindingNumber"/>
    <w:rsid w:val="00424796"/>
  </w:style>
  <w:style w:type="paragraph" w:customStyle="1" w:styleId="FindingNumber">
    <w:name w:val="Finding Number"/>
    <w:basedOn w:val="Normal"/>
    <w:next w:val="BodyText"/>
    <w:rsid w:val="00526E73"/>
    <w:pPr>
      <w:numPr>
        <w:numId w:val="22"/>
      </w:numPr>
      <w:spacing w:before="120" w:line="280" w:lineRule="atLeast"/>
      <w:jc w:val="both"/>
    </w:pPr>
    <w:rPr>
      <w:rFonts w:ascii="Myriad Pro" w:hAnsi="Myriad Pro"/>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Myriad Pro" w:hAnsi="Myriad Pro"/>
      <w:sz w:val="21"/>
      <w:szCs w:val="21"/>
    </w:rPr>
  </w:style>
  <w:style w:type="character" w:customStyle="1" w:styleId="Heading2Char">
    <w:name w:val="Heading 2 Char"/>
    <w:basedOn w:val="Heading1Char"/>
    <w:link w:val="Heading2"/>
    <w:rsid w:val="00AE168D"/>
    <w:rPr>
      <w:rFonts w:ascii="Myriad Pro" w:hAnsi="Myriad Pro" w:cs="Arial"/>
      <w:b/>
      <w:bCs w:val="0"/>
      <w:color w:val="00408A"/>
      <w:kern w:val="28"/>
      <w:sz w:val="24"/>
      <w:szCs w:val="24"/>
    </w:rPr>
  </w:style>
  <w:style w:type="character" w:customStyle="1" w:styleId="Heading3Char">
    <w:name w:val="Heading 3 Char"/>
    <w:basedOn w:val="Heading2Char"/>
    <w:link w:val="Heading3"/>
    <w:rsid w:val="00AE168D"/>
    <w:rPr>
      <w:rFonts w:ascii="Myriad Pro" w:hAnsi="Myriad Pro" w:cs="Arial"/>
      <w:b/>
      <w:bCs w:val="0"/>
      <w:color w:val="00408A"/>
      <w:kern w:val="28"/>
      <w:sz w:val="21"/>
      <w:szCs w:val="21"/>
    </w:rPr>
  </w:style>
  <w:style w:type="paragraph" w:customStyle="1" w:styleId="lead4">
    <w:name w:val="lead 4"/>
    <w:basedOn w:val="Normal"/>
    <w:rsid w:val="00D574D6"/>
    <w:pPr>
      <w:keepNext/>
      <w:spacing w:after="60"/>
      <w:jc w:val="both"/>
      <w:outlineLvl w:val="5"/>
    </w:pPr>
    <w:rPr>
      <w:rFonts w:ascii="Arial" w:hAnsi="Arial" w:cs="Arial"/>
      <w:szCs w:val="20"/>
      <w:u w:val="single"/>
      <w:lang w:eastAsia="en-US"/>
    </w:rPr>
  </w:style>
  <w:style w:type="character" w:customStyle="1" w:styleId="ListBulletChar">
    <w:name w:val="List Bullet Char"/>
    <w:basedOn w:val="BodyTextChar"/>
    <w:link w:val="ListBullet"/>
    <w:rsid w:val="00890BE0"/>
    <w:rPr>
      <w:rFonts w:ascii="Book Antiqua" w:hAnsi="Book Antiqua"/>
      <w:sz w:val="21"/>
      <w:szCs w:val="21"/>
      <w:lang w:val="en-AU" w:eastAsia="en-AU" w:bidi="ar-SA"/>
    </w:rPr>
  </w:style>
  <w:style w:type="paragraph" w:customStyle="1" w:styleId="Eh">
    <w:name w:val="Eh"/>
    <w:basedOn w:val="BodyText"/>
    <w:rsid w:val="00E56758"/>
    <w:pPr>
      <w:spacing w:before="200"/>
    </w:pPr>
  </w:style>
  <w:style w:type="character" w:customStyle="1" w:styleId="FootnoteTextChar">
    <w:name w:val="Footnote Text Char"/>
    <w:link w:val="FootnoteText"/>
    <w:uiPriority w:val="99"/>
    <w:rsid w:val="00183E25"/>
    <w:rPr>
      <w:rFonts w:ascii="Book Antiqua" w:hAnsi="Book Antiqua"/>
      <w:sz w:val="18"/>
      <w:szCs w:val="17"/>
    </w:rPr>
  </w:style>
  <w:style w:type="paragraph" w:customStyle="1" w:styleId="Default">
    <w:name w:val="Default"/>
    <w:rsid w:val="00836CDD"/>
    <w:pPr>
      <w:autoSpaceDE w:val="0"/>
      <w:autoSpaceDN w:val="0"/>
      <w:adjustRightInd w:val="0"/>
    </w:pPr>
    <w:rPr>
      <w:rFonts w:ascii="Book Antiqua" w:eastAsiaTheme="minorHAnsi" w:hAnsi="Book Antiqua" w:cs="Book Antiqua"/>
      <w:color w:val="000000"/>
      <w:sz w:val="24"/>
      <w:szCs w:val="24"/>
      <w:lang w:eastAsia="en-US"/>
    </w:rPr>
  </w:style>
  <w:style w:type="paragraph" w:styleId="ListParagraph">
    <w:name w:val="List Paragraph"/>
    <w:basedOn w:val="Normal"/>
    <w:uiPriority w:val="34"/>
    <w:qFormat/>
    <w:rsid w:val="00A83465"/>
    <w:pPr>
      <w:ind w:left="720"/>
      <w:contextualSpacing/>
    </w:pPr>
  </w:style>
  <w:style w:type="character" w:customStyle="1" w:styleId="StandardbodytextChar">
    <w:name w:val="Standard body text Char"/>
    <w:basedOn w:val="DefaultParagraphFont"/>
    <w:link w:val="Standardbodytext"/>
    <w:locked/>
    <w:rsid w:val="00A37361"/>
    <w:rPr>
      <w:rFonts w:ascii="Arial" w:hAnsi="Arial" w:cs="Arial"/>
    </w:rPr>
  </w:style>
  <w:style w:type="paragraph" w:customStyle="1" w:styleId="Standardbodytext">
    <w:name w:val="Standard body text"/>
    <w:basedOn w:val="Normal"/>
    <w:link w:val="StandardbodytextChar"/>
    <w:qFormat/>
    <w:rsid w:val="00A37361"/>
    <w:pPr>
      <w:spacing w:before="200" w:after="200" w:line="276" w:lineRule="auto"/>
      <w:ind w:right="163"/>
    </w:pPr>
    <w:rPr>
      <w:rFonts w:ascii="Arial" w:hAnsi="Arial" w:cs="Arial"/>
      <w:sz w:val="20"/>
      <w:szCs w:val="20"/>
    </w:rPr>
  </w:style>
  <w:style w:type="character" w:customStyle="1" w:styleId="FootnotesChar">
    <w:name w:val="Footnotes Char"/>
    <w:basedOn w:val="DefaultParagraphFont"/>
    <w:link w:val="Footnotes"/>
    <w:locked/>
    <w:rsid w:val="00A37361"/>
    <w:rPr>
      <w:rFonts w:ascii="Arial" w:eastAsia="Calibri" w:hAnsi="Arial" w:cs="Arial"/>
      <w:sz w:val="18"/>
    </w:rPr>
  </w:style>
  <w:style w:type="paragraph" w:customStyle="1" w:styleId="Footnotes">
    <w:name w:val="Footnotes"/>
    <w:basedOn w:val="FootnoteText"/>
    <w:link w:val="FootnotesChar"/>
    <w:qFormat/>
    <w:rsid w:val="00A37361"/>
    <w:pPr>
      <w:keepLines w:val="0"/>
      <w:spacing w:line="240" w:lineRule="auto"/>
      <w:ind w:left="709" w:hanging="709"/>
      <w:jc w:val="left"/>
    </w:pPr>
    <w:rPr>
      <w:rFonts w:ascii="Arial" w:eastAsia="Calibri" w:hAnsi="Arial" w:cs="Arial"/>
      <w:szCs w:val="20"/>
    </w:rPr>
  </w:style>
  <w:style w:type="table" w:customStyle="1" w:styleId="2013WRITable">
    <w:name w:val="2013 WRI Table"/>
    <w:basedOn w:val="TableNormal"/>
    <w:uiPriority w:val="99"/>
    <w:rsid w:val="00A37361"/>
    <w:pPr>
      <w:spacing w:line="276" w:lineRule="auto"/>
      <w:contextualSpacing/>
    </w:pPr>
    <w:rPr>
      <w:rFonts w:ascii="Arial" w:eastAsiaTheme="minorEastAsia" w:hAnsi="Arial" w:cstheme="minorBidi"/>
      <w:szCs w:val="24"/>
      <w:lang w:eastAsia="en-US"/>
    </w:rPr>
    <w:tblPr>
      <w:tblStyleRowBandSize w:val="1"/>
      <w:tblInd w:w="0" w:type="dxa"/>
      <w:tblCellMar>
        <w:top w:w="0" w:type="dxa"/>
        <w:left w:w="108" w:type="dxa"/>
        <w:bottom w:w="0" w:type="dxa"/>
        <w:right w:w="108" w:type="dxa"/>
      </w:tblCellMar>
    </w:tblPr>
    <w:tblStylePr w:type="firstRow">
      <w:pPr>
        <w:wordWrap/>
        <w:spacing w:beforeLines="0" w:before="100" w:beforeAutospacing="1" w:afterLines="0" w:after="100" w:afterAutospacing="1" w:line="276" w:lineRule="auto"/>
        <w:contextualSpacing/>
      </w:pPr>
      <w:rPr>
        <w:color w:val="FFFFFF" w:themeColor="background1"/>
      </w:rPr>
      <w:tblPr/>
      <w:tcPr>
        <w:tcBorders>
          <w:top w:val="single" w:sz="4" w:space="0" w:color="F79646"/>
          <w:left w:val="single" w:sz="4" w:space="0" w:color="F79646"/>
          <w:bottom w:val="single" w:sz="4" w:space="0" w:color="F79646"/>
          <w:right w:val="single" w:sz="4" w:space="0" w:color="F79646"/>
        </w:tcBorders>
        <w:shd w:val="clear" w:color="auto" w:fill="F79646" w:themeFill="accent6"/>
      </w:tcPr>
    </w:tblStylePr>
    <w:tblStylePr w:type="lastCol">
      <w:pPr>
        <w:wordWrap/>
        <w:spacing w:beforeLines="0" w:before="100" w:beforeAutospacing="1" w:afterLines="0" w:after="100" w:afterAutospacing="1" w:line="276" w:lineRule="auto"/>
        <w:contextualSpacing/>
      </w:pPr>
    </w:tblStylePr>
    <w:tblStylePr w:type="band1Horz">
      <w:rPr>
        <w:rFonts w:ascii="Arial" w:hAnsi="Arial" w:cs="Arial" w:hint="default"/>
        <w:sz w:val="20"/>
        <w:szCs w:val="20"/>
      </w:rPr>
      <w:tblPr/>
      <w:tcPr>
        <w:tcBorders>
          <w:top w:val="single" w:sz="4" w:space="0" w:color="F79646"/>
          <w:left w:val="single" w:sz="4" w:space="0" w:color="F79646"/>
          <w:bottom w:val="single" w:sz="4" w:space="0" w:color="F79646"/>
          <w:right w:val="single" w:sz="4" w:space="0" w:color="F79646"/>
        </w:tcBorders>
      </w:tcPr>
    </w:tblStylePr>
    <w:tblStylePr w:type="band2Horz">
      <w:rPr>
        <w:rFonts w:ascii="Arial" w:hAnsi="Arial" w:cs="Arial" w:hint="default"/>
        <w:sz w:val="20"/>
        <w:szCs w:val="20"/>
      </w:rPr>
      <w:tblPr/>
      <w:tcPr>
        <w:tcBorders>
          <w:top w:val="single" w:sz="4" w:space="0" w:color="F79646"/>
          <w:left w:val="single" w:sz="4" w:space="0" w:color="F79646"/>
          <w:bottom w:val="single" w:sz="4" w:space="0" w:color="F79646"/>
          <w:right w:val="single" w:sz="4" w:space="0" w:color="F79646"/>
        </w:tcBorders>
      </w:tcPr>
    </w:tblStylePr>
  </w:style>
  <w:style w:type="paragraph" w:customStyle="1" w:styleId="BulletL1">
    <w:name w:val="Bullet L1"/>
    <w:uiPriority w:val="1"/>
    <w:qFormat/>
    <w:rsid w:val="00F17129"/>
    <w:pPr>
      <w:numPr>
        <w:numId w:val="46"/>
      </w:numPr>
      <w:spacing w:before="120" w:after="120" w:line="260" w:lineRule="atLeast"/>
    </w:pPr>
    <w:rPr>
      <w:rFonts w:asciiTheme="minorHAnsi" w:eastAsiaTheme="minorEastAsia" w:hAnsiTheme="minorHAnsi" w:cstheme="minorBidi"/>
      <w:sz w:val="22"/>
      <w:lang w:eastAsia="en-GB"/>
    </w:rPr>
  </w:style>
  <w:style w:type="paragraph" w:customStyle="1" w:styleId="BulletL2">
    <w:name w:val="Bullet L2"/>
    <w:uiPriority w:val="1"/>
    <w:qFormat/>
    <w:rsid w:val="00F17129"/>
    <w:pPr>
      <w:numPr>
        <w:ilvl w:val="1"/>
        <w:numId w:val="46"/>
      </w:numPr>
      <w:spacing w:before="120" w:after="120" w:line="260" w:lineRule="atLeast"/>
    </w:pPr>
    <w:rPr>
      <w:rFonts w:asciiTheme="minorHAnsi" w:eastAsiaTheme="minorEastAsia" w:hAnsiTheme="minorHAnsi" w:cstheme="minorBidi"/>
      <w:sz w:val="22"/>
      <w:lang w:eastAsia="en-GB"/>
    </w:rPr>
  </w:style>
  <w:style w:type="paragraph" w:customStyle="1" w:styleId="BulletL3">
    <w:name w:val="Bullet L3"/>
    <w:uiPriority w:val="1"/>
    <w:rsid w:val="00F17129"/>
    <w:pPr>
      <w:numPr>
        <w:ilvl w:val="2"/>
        <w:numId w:val="46"/>
      </w:numPr>
      <w:spacing w:before="120" w:after="120" w:line="260" w:lineRule="atLeast"/>
    </w:pPr>
    <w:rPr>
      <w:rFonts w:asciiTheme="minorHAnsi" w:eastAsiaTheme="minorEastAsia" w:hAnsiTheme="minorHAnsi" w:cstheme="minorBid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7743">
      <w:bodyDiv w:val="1"/>
      <w:marLeft w:val="0"/>
      <w:marRight w:val="0"/>
      <w:marTop w:val="0"/>
      <w:marBottom w:val="0"/>
      <w:divBdr>
        <w:top w:val="none" w:sz="0" w:space="0" w:color="auto"/>
        <w:left w:val="none" w:sz="0" w:space="0" w:color="auto"/>
        <w:bottom w:val="none" w:sz="0" w:space="0" w:color="auto"/>
        <w:right w:val="none" w:sz="0" w:space="0" w:color="auto"/>
      </w:divBdr>
    </w:div>
    <w:div w:id="58285536">
      <w:bodyDiv w:val="1"/>
      <w:marLeft w:val="0"/>
      <w:marRight w:val="0"/>
      <w:marTop w:val="0"/>
      <w:marBottom w:val="0"/>
      <w:divBdr>
        <w:top w:val="none" w:sz="0" w:space="0" w:color="auto"/>
        <w:left w:val="none" w:sz="0" w:space="0" w:color="auto"/>
        <w:bottom w:val="none" w:sz="0" w:space="0" w:color="auto"/>
        <w:right w:val="none" w:sz="0" w:space="0" w:color="auto"/>
      </w:divBdr>
    </w:div>
    <w:div w:id="358548987">
      <w:bodyDiv w:val="1"/>
      <w:marLeft w:val="0"/>
      <w:marRight w:val="0"/>
      <w:marTop w:val="0"/>
      <w:marBottom w:val="0"/>
      <w:divBdr>
        <w:top w:val="none" w:sz="0" w:space="0" w:color="auto"/>
        <w:left w:val="none" w:sz="0" w:space="0" w:color="auto"/>
        <w:bottom w:val="none" w:sz="0" w:space="0" w:color="auto"/>
        <w:right w:val="none" w:sz="0" w:space="0" w:color="auto"/>
      </w:divBdr>
    </w:div>
    <w:div w:id="399671133">
      <w:bodyDiv w:val="1"/>
      <w:marLeft w:val="0"/>
      <w:marRight w:val="0"/>
      <w:marTop w:val="0"/>
      <w:marBottom w:val="0"/>
      <w:divBdr>
        <w:top w:val="none" w:sz="0" w:space="0" w:color="auto"/>
        <w:left w:val="none" w:sz="0" w:space="0" w:color="auto"/>
        <w:bottom w:val="none" w:sz="0" w:space="0" w:color="auto"/>
        <w:right w:val="none" w:sz="0" w:space="0" w:color="auto"/>
      </w:divBdr>
    </w:div>
    <w:div w:id="450126353">
      <w:bodyDiv w:val="1"/>
      <w:marLeft w:val="0"/>
      <w:marRight w:val="0"/>
      <w:marTop w:val="0"/>
      <w:marBottom w:val="0"/>
      <w:divBdr>
        <w:top w:val="none" w:sz="0" w:space="0" w:color="auto"/>
        <w:left w:val="none" w:sz="0" w:space="0" w:color="auto"/>
        <w:bottom w:val="none" w:sz="0" w:space="0" w:color="auto"/>
        <w:right w:val="none" w:sz="0" w:space="0" w:color="auto"/>
      </w:divBdr>
    </w:div>
    <w:div w:id="1011224562">
      <w:bodyDiv w:val="1"/>
      <w:marLeft w:val="0"/>
      <w:marRight w:val="0"/>
      <w:marTop w:val="0"/>
      <w:marBottom w:val="0"/>
      <w:divBdr>
        <w:top w:val="none" w:sz="0" w:space="0" w:color="auto"/>
        <w:left w:val="none" w:sz="0" w:space="0" w:color="auto"/>
        <w:bottom w:val="none" w:sz="0" w:space="0" w:color="auto"/>
        <w:right w:val="none" w:sz="0" w:space="0" w:color="auto"/>
      </w:divBdr>
    </w:div>
    <w:div w:id="1628195439">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52379184">
      <w:bodyDiv w:val="1"/>
      <w:marLeft w:val="0"/>
      <w:marRight w:val="0"/>
      <w:marTop w:val="0"/>
      <w:marBottom w:val="0"/>
      <w:divBdr>
        <w:top w:val="none" w:sz="0" w:space="0" w:color="auto"/>
        <w:left w:val="none" w:sz="0" w:space="0" w:color="auto"/>
        <w:bottom w:val="none" w:sz="0" w:space="0" w:color="auto"/>
        <w:right w:val="none" w:sz="0" w:space="0" w:color="auto"/>
      </w:divBdr>
    </w:div>
    <w:div w:id="1949040909">
      <w:bodyDiv w:val="1"/>
      <w:marLeft w:val="0"/>
      <w:marRight w:val="0"/>
      <w:marTop w:val="0"/>
      <w:marBottom w:val="0"/>
      <w:divBdr>
        <w:top w:val="none" w:sz="0" w:space="0" w:color="auto"/>
        <w:left w:val="none" w:sz="0" w:space="0" w:color="auto"/>
        <w:bottom w:val="none" w:sz="0" w:space="0" w:color="auto"/>
        <w:right w:val="none" w:sz="0" w:space="0" w:color="auto"/>
      </w:divBdr>
    </w:div>
    <w:div w:id="21238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part.nsw.gov.au/files/948b8fb1-2e6e-4647-b9d3-a10000a2552a/Local_Government_-_Council_Portal_User_Guide_-_November_2012.pdf" TargetMode="External"/><Relationship Id="rId26" Type="http://schemas.openxmlformats.org/officeDocument/2006/relationships/image" Target="media/image9.emf"/><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ipart.nsw.gov.au/Home/Industries/Local_Govt" TargetMode="External"/><Relationship Id="rId25" Type="http://schemas.openxmlformats.org/officeDocument/2006/relationships/image" Target="media/image8.png"/><Relationship Id="rId33" Type="http://schemas.openxmlformats.org/officeDocument/2006/relationships/header" Target="header5.xml"/><Relationship Id="rId38"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hyperlink" Target="http://www.ipart.nsw.gov.au" TargetMode="Externa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header" Target="header4.xml"/><Relationship Id="rId37" Type="http://schemas.openxmlformats.org/officeDocument/2006/relationships/image" Target="media/image17.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g.nsw.gov.au" TargetMode="External"/><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6.emf"/><Relationship Id="rId10" Type="http://schemas.openxmlformats.org/officeDocument/2006/relationships/hyperlink" Target="http://www.ipart.nsw.gov.au/" TargetMode="External"/><Relationship Id="rId19" Type="http://schemas.openxmlformats.org/officeDocument/2006/relationships/image" Target="media/image2.png"/><Relationship Id="rId31"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10.png"/><Relationship Id="rId30" Type="http://schemas.openxmlformats.org/officeDocument/2006/relationships/image" Target="media/image13.emf"/><Relationship Id="rId35" Type="http://schemas.openxmlformats.org/officeDocument/2006/relationships/image" Target="media/image15.emf"/></Relationships>
</file>

<file path=word/_rels/footnotes.xml.rels><?xml version="1.0" encoding="UTF-8" standalone="yes"?>
<Relationships xmlns="http://schemas.openxmlformats.org/package/2006/relationships"><Relationship Id="rId1" Type="http://schemas.openxmlformats.org/officeDocument/2006/relationships/hyperlink" Target="http://www.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4F29-7AB6-46B9-B1F6-E2C3DD28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3</TotalTime>
  <Pages>49</Pages>
  <Words>14312</Words>
  <Characters>81272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95394</CharactersWithSpaces>
  <SharedDoc>false</SharedDoc>
  <HLinks>
    <vt:vector size="12" baseType="variant">
      <vt:variant>
        <vt:i4>1114133</vt:i4>
      </vt:variant>
      <vt:variant>
        <vt:i4>0</vt:i4>
      </vt:variant>
      <vt:variant>
        <vt:i4>0</vt:i4>
      </vt:variant>
      <vt:variant>
        <vt:i4>5</vt:i4>
      </vt:variant>
      <vt:variant>
        <vt:lpwstr>http://www.ipart.nsw.gov.au/</vt:lpwstr>
      </vt:variant>
      <vt:variant>
        <vt:lpwstr/>
      </vt:variant>
      <vt:variant>
        <vt:i4>8192053</vt:i4>
      </vt:variant>
      <vt:variant>
        <vt:i4>0</vt:i4>
      </vt:variant>
      <vt:variant>
        <vt:i4>0</vt:i4>
      </vt:variant>
      <vt:variant>
        <vt:i4>5</vt:i4>
      </vt:variant>
      <vt:variant>
        <vt:lpwstr>http://www.planning.nsw.gov.au/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Nicole Haddock</dc:creator>
  <cp:lastModifiedBy>Anton R. Franze</cp:lastModifiedBy>
  <cp:revision>3</cp:revision>
  <cp:lastPrinted>2014-02-23T21:59:00Z</cp:lastPrinted>
  <dcterms:created xsi:type="dcterms:W3CDTF">2014-02-23T21:58:00Z</dcterms:created>
  <dcterms:modified xsi:type="dcterms:W3CDTF">2014-02-23T22:01:00Z</dcterms:modified>
</cp:coreProperties>
</file>