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FC" w:rsidRDefault="00DB14FC" w:rsidP="00893E42">
      <w:pPr>
        <w:pStyle w:val="Heading1"/>
        <w:jc w:val="center"/>
        <w:rPr>
          <w:b w:val="0"/>
          <w:sz w:val="22"/>
          <w:szCs w:val="22"/>
        </w:rPr>
      </w:pPr>
      <w:bookmarkStart w:id="0" w:name="_Toc328550814"/>
      <w:bookmarkStart w:id="1" w:name="_Toc330544273"/>
      <w:bookmarkStart w:id="2" w:name="_Toc330915479"/>
      <w:bookmarkStart w:id="3" w:name="_Toc334702165"/>
      <w:bookmarkStart w:id="4" w:name="_Toc334702465"/>
      <w:bookmarkStart w:id="5" w:name="_Toc334702503"/>
      <w:bookmarkStart w:id="6" w:name="_GoBack"/>
      <w:bookmarkEnd w:id="6"/>
    </w:p>
    <w:p w:rsidR="00DB14FC" w:rsidRDefault="00DB14FC" w:rsidP="00893E42">
      <w:pPr>
        <w:pStyle w:val="Heading1"/>
        <w:jc w:val="center"/>
        <w:rPr>
          <w:b w:val="0"/>
          <w:sz w:val="22"/>
          <w:szCs w:val="22"/>
        </w:rPr>
      </w:pPr>
    </w:p>
    <w:p w:rsidR="00DB14FC" w:rsidRDefault="00DB14FC" w:rsidP="00893E42">
      <w:pPr>
        <w:pStyle w:val="Heading1"/>
        <w:jc w:val="center"/>
        <w:rPr>
          <w:b w:val="0"/>
          <w:sz w:val="22"/>
          <w:szCs w:val="22"/>
        </w:rPr>
      </w:pPr>
    </w:p>
    <w:p w:rsidR="000A7B79" w:rsidRPr="00341D45" w:rsidRDefault="00A7208A" w:rsidP="00893E42">
      <w:pPr>
        <w:pStyle w:val="Heading1"/>
        <w:jc w:val="center"/>
        <w:rPr>
          <w:rStyle w:val="TitleChar"/>
          <w:sz w:val="28"/>
          <w:szCs w:val="28"/>
          <w:u w:val="none"/>
        </w:rPr>
      </w:pPr>
      <w:r>
        <w:rPr>
          <w:rStyle w:val="TitleChar"/>
          <w:sz w:val="28"/>
          <w:szCs w:val="28"/>
          <w:u w:val="none"/>
        </w:rPr>
        <w:t xml:space="preserve">Gwydir Shire </w:t>
      </w:r>
      <w:r w:rsidR="0039089C" w:rsidRPr="00341D45">
        <w:rPr>
          <w:rStyle w:val="TitleChar"/>
          <w:sz w:val="28"/>
          <w:szCs w:val="28"/>
          <w:u w:val="none"/>
        </w:rPr>
        <w:t>Council</w:t>
      </w:r>
      <w:bookmarkEnd w:id="0"/>
      <w:bookmarkEnd w:id="1"/>
      <w:bookmarkEnd w:id="2"/>
      <w:bookmarkEnd w:id="3"/>
      <w:bookmarkEnd w:id="4"/>
      <w:bookmarkEnd w:id="5"/>
    </w:p>
    <w:p w:rsidR="000A7B79" w:rsidRPr="001A2B7D" w:rsidRDefault="000A7B79" w:rsidP="00893E42">
      <w:pPr>
        <w:pStyle w:val="Heading1"/>
        <w:jc w:val="center"/>
      </w:pPr>
    </w:p>
    <w:p w:rsidR="000A7B79" w:rsidRPr="00341D45" w:rsidRDefault="00E57C2E" w:rsidP="00341D45">
      <w:pPr>
        <w:spacing w:line="276" w:lineRule="auto"/>
        <w:jc w:val="center"/>
        <w:rPr>
          <w:b/>
          <w:sz w:val="28"/>
          <w:szCs w:val="28"/>
        </w:rPr>
      </w:pPr>
      <w:bookmarkStart w:id="7" w:name="_Toc326915862"/>
      <w:bookmarkStart w:id="8" w:name="_Toc326916121"/>
      <w:r>
        <w:rPr>
          <w:b/>
          <w:sz w:val="28"/>
          <w:szCs w:val="28"/>
        </w:rPr>
        <w:t>Financial</w:t>
      </w:r>
      <w:r w:rsidR="00EC5A48">
        <w:rPr>
          <w:b/>
          <w:sz w:val="28"/>
          <w:szCs w:val="28"/>
        </w:rPr>
        <w:t xml:space="preserve"> </w:t>
      </w:r>
      <w:r w:rsidR="000A7B79" w:rsidRPr="00341D45">
        <w:rPr>
          <w:b/>
          <w:sz w:val="28"/>
          <w:szCs w:val="28"/>
        </w:rPr>
        <w:t>Assessment</w:t>
      </w:r>
      <w:r>
        <w:rPr>
          <w:b/>
          <w:sz w:val="28"/>
          <w:szCs w:val="28"/>
        </w:rPr>
        <w:t>, Sustainability</w:t>
      </w:r>
      <w:r w:rsidR="00EC5A48">
        <w:rPr>
          <w:b/>
          <w:sz w:val="28"/>
          <w:szCs w:val="28"/>
        </w:rPr>
        <w:t xml:space="preserve"> and </w:t>
      </w:r>
      <w:r w:rsidR="000A7B79" w:rsidRPr="00341D45">
        <w:rPr>
          <w:b/>
          <w:sz w:val="28"/>
          <w:szCs w:val="28"/>
        </w:rPr>
        <w:t>Benchmarking Report</w:t>
      </w:r>
      <w:bookmarkEnd w:id="7"/>
      <w:bookmarkEnd w:id="8"/>
    </w:p>
    <w:p w:rsidR="000A7B79" w:rsidRPr="001A2B7D" w:rsidRDefault="000A7B79" w:rsidP="00E5674B">
      <w:pPr>
        <w:pStyle w:val="Heading1"/>
        <w:jc w:val="center"/>
      </w:pPr>
    </w:p>
    <w:p w:rsidR="000A7B79" w:rsidRPr="001A2B7D" w:rsidRDefault="000A7B79" w:rsidP="00DB14FC">
      <w:pPr>
        <w:spacing w:before="0" w:after="200" w:line="276" w:lineRule="auto"/>
        <w:rPr>
          <w:b/>
        </w:rPr>
      </w:pPr>
    </w:p>
    <w:p w:rsidR="000A7B79" w:rsidRPr="001A2B7D" w:rsidRDefault="000A7B79" w:rsidP="000A7B79">
      <w:pPr>
        <w:spacing w:before="0" w:after="200" w:line="276" w:lineRule="auto"/>
        <w:jc w:val="center"/>
        <w:rPr>
          <w:b/>
        </w:rPr>
      </w:pPr>
    </w:p>
    <w:p w:rsidR="000A7B79" w:rsidRPr="001A2B7D" w:rsidRDefault="004402CC" w:rsidP="000A7B79">
      <w:pPr>
        <w:spacing w:before="0" w:after="200" w:line="276" w:lineRule="auto"/>
        <w:jc w:val="center"/>
        <w:rPr>
          <w:b/>
        </w:rPr>
      </w:pPr>
      <w:r>
        <w:rPr>
          <w:b/>
        </w:rPr>
        <w:t>09 April</w:t>
      </w:r>
      <w:r w:rsidR="004C2D84">
        <w:rPr>
          <w:b/>
        </w:rPr>
        <w:t xml:space="preserve"> 2013</w:t>
      </w:r>
    </w:p>
    <w:p w:rsidR="000A7B79" w:rsidRPr="001A2B7D" w:rsidRDefault="000A7B79" w:rsidP="000A7B79">
      <w:pPr>
        <w:spacing w:before="0" w:after="200" w:line="276" w:lineRule="auto"/>
        <w:jc w:val="center"/>
        <w:rPr>
          <w:b/>
        </w:rPr>
      </w:pPr>
    </w:p>
    <w:p w:rsidR="00DB26AA" w:rsidRDefault="00DB26AA" w:rsidP="00DB26AA">
      <w:pPr>
        <w:jc w:val="center"/>
        <w:rPr>
          <w:b/>
        </w:rPr>
      </w:pPr>
      <w:bookmarkStart w:id="9" w:name="_Toc326915863"/>
      <w:bookmarkStart w:id="10" w:name="_Toc326916122"/>
      <w:r w:rsidRPr="001A2B7D">
        <w:rPr>
          <w:b/>
        </w:rPr>
        <w:t xml:space="preserve">Prepared by NSW Treasury Corporation </w:t>
      </w:r>
      <w:r>
        <w:rPr>
          <w:b/>
        </w:rPr>
        <w:t xml:space="preserve">for </w:t>
      </w:r>
      <w:r w:rsidR="00A7208A">
        <w:rPr>
          <w:b/>
        </w:rPr>
        <w:t>Gwydir Shire Council</w:t>
      </w:r>
      <w:r>
        <w:rPr>
          <w:b/>
        </w:rPr>
        <w:t>, the Division of Local Government and</w:t>
      </w:r>
      <w:r w:rsidRPr="001A2B7D">
        <w:rPr>
          <w:b/>
        </w:rPr>
        <w:t xml:space="preserve"> the </w:t>
      </w:r>
      <w:r>
        <w:rPr>
          <w:b/>
        </w:rPr>
        <w:t xml:space="preserve">Independent </w:t>
      </w:r>
      <w:r w:rsidRPr="001A2B7D">
        <w:rPr>
          <w:b/>
        </w:rPr>
        <w:t xml:space="preserve">Local </w:t>
      </w:r>
      <w:r>
        <w:rPr>
          <w:b/>
        </w:rPr>
        <w:t>Government</w:t>
      </w:r>
      <w:bookmarkEnd w:id="9"/>
      <w:bookmarkEnd w:id="10"/>
      <w:r>
        <w:rPr>
          <w:b/>
        </w:rPr>
        <w:t xml:space="preserve"> Review Panel.</w:t>
      </w:r>
    </w:p>
    <w:p w:rsidR="000A7B79" w:rsidRPr="00341D45" w:rsidRDefault="000A7B79" w:rsidP="00341D45">
      <w:pPr>
        <w:spacing w:line="276" w:lineRule="auto"/>
        <w:rPr>
          <w:b/>
          <w:sz w:val="28"/>
          <w:szCs w:val="28"/>
        </w:rPr>
      </w:pPr>
      <w:r>
        <w:br w:type="page"/>
      </w:r>
      <w:bookmarkStart w:id="11" w:name="_Toc326915864"/>
      <w:bookmarkStart w:id="12" w:name="_Toc326916123"/>
      <w:r w:rsidRPr="00341D45">
        <w:rPr>
          <w:b/>
          <w:sz w:val="28"/>
          <w:szCs w:val="28"/>
        </w:rPr>
        <w:lastRenderedPageBreak/>
        <w:t>Disclaimer</w:t>
      </w:r>
      <w:bookmarkEnd w:id="11"/>
      <w:bookmarkEnd w:id="12"/>
    </w:p>
    <w:p w:rsidR="000A7B79" w:rsidRPr="0068747D" w:rsidRDefault="000A7B79" w:rsidP="0068747D">
      <w:r w:rsidRPr="0068747D">
        <w:t>This report has been prepared by New South Wales Treasury Corporation (TCorp) in accordance with the appointment of TCorp by the Division of Local Government (DLG) as detailed in TCorp’s letter</w:t>
      </w:r>
      <w:r w:rsidR="00620B19">
        <w:t>s</w:t>
      </w:r>
      <w:r w:rsidRPr="0068747D">
        <w:t xml:space="preserve"> of </w:t>
      </w:r>
      <w:r w:rsidRPr="0068747D">
        <w:br/>
        <w:t>22 December 2011</w:t>
      </w:r>
      <w:r w:rsidR="00620B19">
        <w:t xml:space="preserve"> and 28 May 2012</w:t>
      </w:r>
      <w:r w:rsidRPr="0068747D">
        <w:t>.</w:t>
      </w:r>
      <w:r w:rsidR="008027C9" w:rsidRPr="0068747D">
        <w:t xml:space="preserve"> </w:t>
      </w:r>
      <w:r w:rsidRPr="0068747D">
        <w:t xml:space="preserve"> The report has been prepared </w:t>
      </w:r>
      <w:r w:rsidR="00DE66A6">
        <w:t>to assist the</w:t>
      </w:r>
      <w:r w:rsidR="00CC644E">
        <w:t xml:space="preserve"> DLG and the</w:t>
      </w:r>
      <w:r w:rsidR="00DE66A6">
        <w:t xml:space="preserve"> Independent Local Government Review Panel in its consideration of the </w:t>
      </w:r>
      <w:r w:rsidR="00966D11">
        <w:t>S</w:t>
      </w:r>
      <w:r w:rsidR="00DE66A6">
        <w:t>ustainability of each local government area in NSW.</w:t>
      </w:r>
    </w:p>
    <w:p w:rsidR="000A7B79" w:rsidRPr="00893E42" w:rsidRDefault="000A7B79" w:rsidP="0068747D">
      <w:r w:rsidRPr="00893E42">
        <w:t xml:space="preserve">The report has been prepared based on information provided to TCorp as set out in </w:t>
      </w:r>
      <w:r w:rsidR="006651F6" w:rsidRPr="00893E42">
        <w:t>Section 2.2 of</w:t>
      </w:r>
      <w:r w:rsidRPr="00893E42">
        <w:t xml:space="preserve"> this report.</w:t>
      </w:r>
      <w:r w:rsidR="008027C9">
        <w:t xml:space="preserve">  </w:t>
      </w:r>
      <w:r w:rsidRPr="00893E42">
        <w:t>TCorp has relied on this information and has not verified or audited the accuracy, reliability or currency of the information provided to it for the purpose of preparation of the report.</w:t>
      </w:r>
      <w:r w:rsidR="008027C9">
        <w:t xml:space="preserve">  </w:t>
      </w:r>
      <w:r w:rsidRPr="00893E42">
        <w:t>TCorp and its directors, officers and employees make no representation as to the accuracy, reliability or completeness of the information contained in the report.</w:t>
      </w:r>
    </w:p>
    <w:p w:rsidR="000A7B79" w:rsidRPr="00893E42" w:rsidRDefault="000A7B79" w:rsidP="0068747D">
      <w:r w:rsidRPr="00893E42">
        <w:t>In addition, TCorp does not warrant or guarantee the outcomes or projections contained in this report.   The projections and outcomes contained in the report do not necessarily take into consideration the commercial risks, various external factors or the possibility of poor performance by the Council all of which may negatively impact the financial capability and sustainability of the Council.</w:t>
      </w:r>
      <w:r w:rsidR="008027C9">
        <w:t xml:space="preserve">  </w:t>
      </w:r>
      <w:r w:rsidRPr="00893E42">
        <w:t>The TCorp report focuses on whether the Council has reasonable capacity, based on the information provided to TCorp, to take on additional borrowings</w:t>
      </w:r>
      <w:r w:rsidR="00DE66A6">
        <w:t>,</w:t>
      </w:r>
      <w:r w:rsidR="00DE66A6" w:rsidRPr="00DE66A6">
        <w:t xml:space="preserve"> </w:t>
      </w:r>
      <w:r w:rsidR="00DE66A6">
        <w:t xml:space="preserve">and Council’s future </w:t>
      </w:r>
      <w:r w:rsidR="00966D11">
        <w:t>S</w:t>
      </w:r>
      <w:r w:rsidR="00DE66A6">
        <w:t>ustainability,</w:t>
      </w:r>
      <w:r w:rsidRPr="00893E42">
        <w:t xml:space="preserve"> within prudent risk parameters and the limits of its financial projections.</w:t>
      </w:r>
    </w:p>
    <w:p w:rsidR="000A7B79" w:rsidRPr="00893E42" w:rsidRDefault="000A7B79" w:rsidP="0068747D">
      <w:r w:rsidRPr="00893E42">
        <w:t xml:space="preserve">The report has been prepared for </w:t>
      </w:r>
      <w:r w:rsidR="00A7208A">
        <w:t>Gwydir Shire Council</w:t>
      </w:r>
      <w:r w:rsidR="00B328E9">
        <w:t>,</w:t>
      </w:r>
      <w:r w:rsidRPr="00893E42">
        <w:t xml:space="preserve"> the DLG</w:t>
      </w:r>
      <w:r w:rsidR="00DE66A6">
        <w:t xml:space="preserve"> and the Independent </w:t>
      </w:r>
      <w:r w:rsidR="00DB26AA">
        <w:t xml:space="preserve">Local Government </w:t>
      </w:r>
      <w:r w:rsidR="00DE66A6">
        <w:t>Review Panel</w:t>
      </w:r>
      <w:r w:rsidRPr="00893E42">
        <w:t>.</w:t>
      </w:r>
      <w:r w:rsidR="008027C9">
        <w:t xml:space="preserve">  </w:t>
      </w:r>
      <w:r w:rsidRPr="00893E42">
        <w:t xml:space="preserve">TCorp shall not be liable to </w:t>
      </w:r>
      <w:r w:rsidR="00A7208A">
        <w:t>Gwydir Shire Council</w:t>
      </w:r>
      <w:r w:rsidR="00A7208A" w:rsidRPr="00893E42">
        <w:t xml:space="preserve"> </w:t>
      </w:r>
      <w:r w:rsidRPr="00893E42">
        <w:t>or have any liability to any third party under the law of contract, tort and the principles of restitution or unjust enrichment or otherwise for any loss, expense or damage which may arise from or be incurred or suffered as a result of reliance on anything contained in this report.</w:t>
      </w:r>
    </w:p>
    <w:p w:rsidR="000A2081" w:rsidRPr="00893E42" w:rsidRDefault="000A2081" w:rsidP="0068747D"/>
    <w:p w:rsidR="000A2081" w:rsidRDefault="000A2081" w:rsidP="000A7B79">
      <w:pPr>
        <w:spacing w:line="276" w:lineRule="auto"/>
        <w:jc w:val="left"/>
      </w:pPr>
    </w:p>
    <w:p w:rsidR="000A2081" w:rsidRDefault="000A2081" w:rsidP="000A7B79">
      <w:pPr>
        <w:spacing w:line="276" w:lineRule="auto"/>
        <w:jc w:val="left"/>
      </w:pPr>
    </w:p>
    <w:p w:rsidR="000A2081" w:rsidRDefault="000A2081" w:rsidP="000A7B79">
      <w:pPr>
        <w:spacing w:line="276" w:lineRule="auto"/>
        <w:jc w:val="left"/>
      </w:pPr>
    </w:p>
    <w:p w:rsidR="000A2081" w:rsidRDefault="000A2081" w:rsidP="000A7B79">
      <w:pPr>
        <w:spacing w:line="276" w:lineRule="auto"/>
        <w:jc w:val="left"/>
      </w:pPr>
    </w:p>
    <w:p w:rsidR="000A2081" w:rsidRDefault="000A2081" w:rsidP="000A7B79">
      <w:pPr>
        <w:spacing w:line="276" w:lineRule="auto"/>
        <w:jc w:val="left"/>
      </w:pPr>
    </w:p>
    <w:p w:rsidR="000A2081" w:rsidRDefault="000A2081" w:rsidP="000A7B79">
      <w:pPr>
        <w:spacing w:line="276" w:lineRule="auto"/>
        <w:jc w:val="left"/>
      </w:pPr>
    </w:p>
    <w:p w:rsidR="000A2081" w:rsidRDefault="000A2081" w:rsidP="000A7B79">
      <w:pPr>
        <w:spacing w:line="276" w:lineRule="auto"/>
        <w:jc w:val="left"/>
      </w:pPr>
    </w:p>
    <w:p w:rsidR="00AE547D" w:rsidRDefault="00AE547D">
      <w:pPr>
        <w:spacing w:before="0" w:after="0" w:line="240" w:lineRule="auto"/>
        <w:jc w:val="left"/>
        <w:rPr>
          <w:b/>
          <w:sz w:val="28"/>
          <w:szCs w:val="28"/>
        </w:rPr>
      </w:pPr>
      <w:r>
        <w:br w:type="page"/>
      </w:r>
    </w:p>
    <w:p w:rsidR="008E5760" w:rsidRPr="008E5760" w:rsidRDefault="00893E42">
      <w:pPr>
        <w:pStyle w:val="TOC1"/>
        <w:tabs>
          <w:tab w:val="right" w:leader="dot" w:pos="8023"/>
        </w:tabs>
        <w:rPr>
          <w:rFonts w:ascii="Arial Narrow" w:hAnsi="Arial Narrow"/>
          <w:noProof/>
        </w:rPr>
      </w:pPr>
      <w:r w:rsidRPr="00341D45">
        <w:rPr>
          <w:b/>
          <w:sz w:val="28"/>
          <w:szCs w:val="28"/>
        </w:rPr>
        <w:lastRenderedPageBreak/>
        <w:t>Index</w:t>
      </w:r>
      <w:r w:rsidR="00C078ED">
        <w:fldChar w:fldCharType="begin"/>
      </w:r>
      <w:r w:rsidR="008E5760">
        <w:instrText xml:space="preserve"> TOC \o "1-3" \h \z \u </w:instrText>
      </w:r>
      <w:r w:rsidR="00C078ED">
        <w:fldChar w:fldCharType="separate"/>
      </w:r>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04" w:history="1">
        <w:r w:rsidR="008E5760" w:rsidRPr="008E5760">
          <w:rPr>
            <w:rStyle w:val="Hyperlink"/>
            <w:rFonts w:ascii="Arial Narrow" w:hAnsi="Arial Narrow"/>
            <w:noProof/>
          </w:rPr>
          <w:t>Section 1</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Executive Summary</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_Toc334702504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4</w:t>
        </w:r>
        <w:r w:rsidR="00C078ED" w:rsidRPr="008E5760">
          <w:rPr>
            <w:rFonts w:ascii="Arial Narrow" w:hAnsi="Arial Narrow"/>
            <w:noProof/>
            <w:webHidden/>
          </w:rPr>
          <w:fldChar w:fldCharType="end"/>
        </w:r>
      </w:hyperlink>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05" w:history="1">
        <w:r w:rsidR="008E5760" w:rsidRPr="008E5760">
          <w:rPr>
            <w:rStyle w:val="Hyperlink"/>
            <w:rFonts w:ascii="Arial Narrow" w:hAnsi="Arial Narrow"/>
            <w:noProof/>
          </w:rPr>
          <w:t>Section 2</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Introduction</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_Toc334702505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6</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06" w:history="1">
        <w:r w:rsidR="008E5760" w:rsidRPr="008E5760">
          <w:rPr>
            <w:rStyle w:val="Hyperlink"/>
            <w:rFonts w:ascii="Arial Narrow" w:hAnsi="Arial Narrow"/>
            <w:noProof/>
          </w:rPr>
          <w:t>2.1:</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Purpose of Report</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_Toc334702506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6</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07" w:history="1">
        <w:r w:rsidR="008E5760" w:rsidRPr="008E5760">
          <w:rPr>
            <w:rStyle w:val="Hyperlink"/>
            <w:rFonts w:ascii="Arial Narrow" w:hAnsi="Arial Narrow"/>
            <w:noProof/>
          </w:rPr>
          <w:t>2.2:</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Scope and Methodology</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_Toc334702507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6</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08" w:history="1">
        <w:r w:rsidR="008E5760" w:rsidRPr="008E5760">
          <w:rPr>
            <w:rStyle w:val="Hyperlink"/>
            <w:rFonts w:ascii="Arial Narrow" w:hAnsi="Arial Narrow"/>
            <w:noProof/>
          </w:rPr>
          <w:t>2.3:</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Overview of the Local Government Area</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_Toc334702508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8</w:t>
        </w:r>
        <w:r w:rsidR="00C078ED" w:rsidRPr="008E5760">
          <w:rPr>
            <w:rFonts w:ascii="Arial Narrow" w:hAnsi="Arial Narrow"/>
            <w:noProof/>
            <w:webHidden/>
          </w:rPr>
          <w:fldChar w:fldCharType="end"/>
        </w:r>
      </w:hyperlink>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09" w:history="1">
        <w:r w:rsidR="008E5760" w:rsidRPr="008E5760">
          <w:rPr>
            <w:rStyle w:val="Hyperlink"/>
            <w:rFonts w:ascii="Arial Narrow" w:hAnsi="Arial Narrow"/>
            <w:noProof/>
          </w:rPr>
          <w:t>Section 3</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Review of Financial Performance and Position</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_Toc334702509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9</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0" w:history="1">
        <w:r w:rsidR="008E5760" w:rsidRPr="008E5760">
          <w:rPr>
            <w:rStyle w:val="Hyperlink"/>
            <w:rFonts w:ascii="Arial Narrow" w:hAnsi="Arial Narrow"/>
            <w:noProof/>
          </w:rPr>
          <w:t>3.1:</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Revenue</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_Toc334702510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9</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1" w:history="1">
        <w:r w:rsidR="008E5760" w:rsidRPr="008E5760">
          <w:rPr>
            <w:rStyle w:val="Hyperlink"/>
            <w:rFonts w:ascii="Arial Narrow" w:hAnsi="Arial Narrow"/>
            <w:noProof/>
          </w:rPr>
          <w:t>3.2:</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Expenses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_Toc334702511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10</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2" w:history="1">
        <w:r w:rsidR="008E5760" w:rsidRPr="008E5760">
          <w:rPr>
            <w:rStyle w:val="Hyperlink"/>
            <w:rFonts w:ascii="Arial Narrow" w:hAnsi="Arial Narrow"/>
            <w:noProof/>
          </w:rPr>
          <w:t>3.3:</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Operating Results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_Toc334702512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11</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3" w:history="1">
        <w:r w:rsidR="008E5760" w:rsidRPr="008E5760">
          <w:rPr>
            <w:rStyle w:val="Hyperlink"/>
            <w:rFonts w:ascii="Arial Narrow" w:hAnsi="Arial Narrow"/>
            <w:noProof/>
          </w:rPr>
          <w:t>3.4:</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Financial Management Indicators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_Toc334702513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12</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4" w:history="1">
        <w:r w:rsidR="008E5760" w:rsidRPr="008E5760">
          <w:rPr>
            <w:rStyle w:val="Hyperlink"/>
            <w:rFonts w:ascii="Arial Narrow" w:hAnsi="Arial Narrow"/>
            <w:noProof/>
          </w:rPr>
          <w:t>3.5:</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Statement of Cashflows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_Toc334702514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13</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5" w:history="1">
        <w:r w:rsidR="008E5760" w:rsidRPr="008E5760">
          <w:rPr>
            <w:rStyle w:val="Hyperlink"/>
            <w:rFonts w:ascii="Arial Narrow" w:hAnsi="Arial Narrow"/>
            <w:noProof/>
          </w:rPr>
          <w:t>3.6:</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Capital Expenditure</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_Toc334702515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14</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6" w:history="1">
        <w:r w:rsidR="008E5760" w:rsidRPr="008E5760">
          <w:rPr>
            <w:rStyle w:val="Hyperlink"/>
            <w:rFonts w:ascii="Arial Narrow" w:hAnsi="Arial Narrow"/>
            <w:noProof/>
          </w:rPr>
          <w:t>3.6(a):</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Infrastructure Backlog</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_Toc334702516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14</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7" w:history="1">
        <w:r w:rsidR="008E5760" w:rsidRPr="008E5760">
          <w:rPr>
            <w:rStyle w:val="Hyperlink"/>
            <w:rFonts w:ascii="Arial Narrow" w:hAnsi="Arial Narrow"/>
            <w:noProof/>
          </w:rPr>
          <w:t>3.6(b):</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Infrastructure Status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_Toc334702517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15</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8" w:history="1">
        <w:r w:rsidR="008E5760" w:rsidRPr="008E5760">
          <w:rPr>
            <w:rStyle w:val="Hyperlink"/>
            <w:rFonts w:ascii="Arial Narrow" w:hAnsi="Arial Narrow"/>
            <w:noProof/>
          </w:rPr>
          <w:t>3.6(c):</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Capital Program</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_Toc334702518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16</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19" w:history="1">
        <w:r w:rsidR="008E5760" w:rsidRPr="008E5760">
          <w:rPr>
            <w:rStyle w:val="Hyperlink"/>
            <w:rFonts w:ascii="Arial Narrow" w:hAnsi="Arial Narrow"/>
            <w:noProof/>
          </w:rPr>
          <w:t>3.7:</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Specific Risks to Council</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_Toc334702519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16</w:t>
        </w:r>
        <w:r w:rsidR="00C078ED" w:rsidRPr="008E5760">
          <w:rPr>
            <w:rFonts w:ascii="Arial Narrow" w:hAnsi="Arial Narrow"/>
            <w:noProof/>
            <w:webHidden/>
          </w:rPr>
          <w:fldChar w:fldCharType="end"/>
        </w:r>
      </w:hyperlink>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20" w:history="1">
        <w:r w:rsidR="008E5760" w:rsidRPr="008E5760">
          <w:rPr>
            <w:rStyle w:val="Hyperlink"/>
            <w:rFonts w:ascii="Arial Narrow" w:hAnsi="Arial Narrow"/>
            <w:noProof/>
          </w:rPr>
          <w:t>Section 4</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Review of Financial Forecasts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_Toc334702520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17</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1" w:history="1">
        <w:r w:rsidR="008E5760" w:rsidRPr="008E5760">
          <w:rPr>
            <w:rStyle w:val="Hyperlink"/>
            <w:rFonts w:ascii="Arial Narrow" w:hAnsi="Arial Narrow"/>
            <w:noProof/>
          </w:rPr>
          <w:t>4.1:</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Operating Results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_Toc334702521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17</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2" w:history="1">
        <w:r w:rsidR="008E5760" w:rsidRPr="008E5760">
          <w:rPr>
            <w:rStyle w:val="Hyperlink"/>
            <w:rFonts w:ascii="Arial Narrow" w:hAnsi="Arial Narrow"/>
            <w:noProof/>
          </w:rPr>
          <w:t>4.2:</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Financial Management Indicators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_Toc334702522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18</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3" w:history="1">
        <w:r w:rsidR="008E5760" w:rsidRPr="008E5760">
          <w:rPr>
            <w:rStyle w:val="Hyperlink"/>
            <w:rFonts w:ascii="Arial Narrow" w:hAnsi="Arial Narrow"/>
            <w:noProof/>
          </w:rPr>
          <w:t>4.3:</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Capital Expenditure</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_Toc334702523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21</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4" w:history="1">
        <w:r w:rsidR="008E5760" w:rsidRPr="008E5760">
          <w:rPr>
            <w:rStyle w:val="Hyperlink"/>
            <w:rFonts w:ascii="Arial Narrow" w:hAnsi="Arial Narrow"/>
            <w:noProof/>
          </w:rPr>
          <w:t>4.4:</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Financial Model Assumption Review</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_Toc334702524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22</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6" w:history="1">
        <w:r w:rsidR="008E5760" w:rsidRPr="008E5760">
          <w:rPr>
            <w:rStyle w:val="Hyperlink"/>
            <w:rFonts w:ascii="Arial Narrow" w:hAnsi="Arial Narrow"/>
            <w:noProof/>
          </w:rPr>
          <w:t>4.</w:t>
        </w:r>
        <w:r w:rsidR="00A05262">
          <w:rPr>
            <w:rStyle w:val="Hyperlink"/>
            <w:rFonts w:ascii="Arial Narrow" w:hAnsi="Arial Narrow"/>
            <w:noProof/>
          </w:rPr>
          <w:t>5</w:t>
        </w:r>
        <w:r w:rsidR="008E5760" w:rsidRPr="008E5760">
          <w:rPr>
            <w:rStyle w:val="Hyperlink"/>
            <w:rFonts w:ascii="Arial Narrow" w:hAnsi="Arial Narrow"/>
            <w:noProof/>
          </w:rPr>
          <w:t>:</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Borrowing Capacity</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_Toc334702526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23</w:t>
        </w:r>
        <w:r w:rsidR="00C078ED" w:rsidRPr="008E5760">
          <w:rPr>
            <w:rFonts w:ascii="Arial Narrow" w:hAnsi="Arial Narrow"/>
            <w:noProof/>
            <w:webHidden/>
          </w:rPr>
          <w:fldChar w:fldCharType="end"/>
        </w:r>
      </w:hyperlink>
    </w:p>
    <w:p w:rsidR="008E5760" w:rsidRPr="008E5760" w:rsidRDefault="003539B0">
      <w:pPr>
        <w:pStyle w:val="TOC2"/>
        <w:rPr>
          <w:rFonts w:ascii="Arial Narrow" w:eastAsiaTheme="minorEastAsia" w:hAnsi="Arial Narrow" w:cstheme="minorBidi"/>
          <w:noProof/>
          <w:lang w:val="en-AU" w:eastAsia="en-AU"/>
        </w:rPr>
      </w:pPr>
      <w:hyperlink w:anchor="_Toc334702527" w:history="1">
        <w:r w:rsidR="00A05262">
          <w:rPr>
            <w:rStyle w:val="Hyperlink"/>
            <w:rFonts w:ascii="Arial Narrow" w:hAnsi="Arial Narrow"/>
            <w:noProof/>
          </w:rPr>
          <w:t>4.6:</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Sustainability</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_Toc334702527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23</w:t>
        </w:r>
        <w:r w:rsidR="00C078ED" w:rsidRPr="008E5760">
          <w:rPr>
            <w:rFonts w:ascii="Arial Narrow" w:hAnsi="Arial Narrow"/>
            <w:noProof/>
            <w:webHidden/>
          </w:rPr>
          <w:fldChar w:fldCharType="end"/>
        </w:r>
      </w:hyperlink>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28" w:history="1">
        <w:r w:rsidR="008E5760" w:rsidRPr="008E5760">
          <w:rPr>
            <w:rStyle w:val="Hyperlink"/>
            <w:rFonts w:ascii="Arial Narrow" w:hAnsi="Arial Narrow"/>
            <w:noProof/>
          </w:rPr>
          <w:t>Section 5</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Benchmarking and Comparisons with Other Councils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_Toc334702528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24</w:t>
        </w:r>
        <w:r w:rsidR="00C078ED" w:rsidRPr="008E5760">
          <w:rPr>
            <w:rFonts w:ascii="Arial Narrow" w:hAnsi="Arial Narrow"/>
            <w:noProof/>
            <w:webHidden/>
          </w:rPr>
          <w:fldChar w:fldCharType="end"/>
        </w:r>
      </w:hyperlink>
    </w:p>
    <w:p w:rsidR="008E5760" w:rsidRPr="008E5760" w:rsidRDefault="003539B0">
      <w:pPr>
        <w:pStyle w:val="TOC1"/>
        <w:tabs>
          <w:tab w:val="left" w:pos="1100"/>
          <w:tab w:val="right" w:leader="dot" w:pos="8023"/>
        </w:tabs>
        <w:rPr>
          <w:rFonts w:ascii="Arial Narrow" w:eastAsiaTheme="minorEastAsia" w:hAnsi="Arial Narrow" w:cstheme="minorBidi"/>
          <w:noProof/>
          <w:lang w:val="en-AU" w:eastAsia="en-AU"/>
        </w:rPr>
      </w:pPr>
      <w:hyperlink w:anchor="_Toc334702529" w:history="1">
        <w:r w:rsidR="008E5760" w:rsidRPr="008E5760">
          <w:rPr>
            <w:rStyle w:val="Hyperlink"/>
            <w:rFonts w:ascii="Arial Narrow" w:hAnsi="Arial Narrow"/>
            <w:noProof/>
          </w:rPr>
          <w:t>Section 6</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Conclusion and Recommendations</w:t>
        </w:r>
        <w:r w:rsidR="008E5760" w:rsidRPr="008E5760">
          <w:rPr>
            <w:rFonts w:ascii="Arial Narrow" w:hAnsi="Arial Narrow"/>
            <w:noProof/>
            <w:webHidden/>
          </w:rPr>
          <w:tab/>
        </w:r>
        <w:r w:rsidR="004402CC">
          <w:rPr>
            <w:rFonts w:ascii="Arial Narrow" w:hAnsi="Arial Narrow"/>
            <w:noProof/>
            <w:webHidden/>
          </w:rPr>
          <w:t>30</w:t>
        </w:r>
      </w:hyperlink>
    </w:p>
    <w:p w:rsidR="008E5760" w:rsidRPr="008E5760" w:rsidRDefault="003539B0">
      <w:pPr>
        <w:pStyle w:val="TOC1"/>
        <w:tabs>
          <w:tab w:val="left" w:pos="1320"/>
          <w:tab w:val="right" w:leader="dot" w:pos="8023"/>
        </w:tabs>
        <w:rPr>
          <w:rFonts w:ascii="Arial Narrow" w:eastAsiaTheme="minorEastAsia" w:hAnsi="Arial Narrow" w:cstheme="minorBidi"/>
          <w:noProof/>
          <w:lang w:val="en-AU" w:eastAsia="en-AU"/>
        </w:rPr>
      </w:pPr>
      <w:hyperlink w:anchor="_Toc334702530" w:history="1">
        <w:r w:rsidR="008E5760" w:rsidRPr="008E5760">
          <w:rPr>
            <w:rStyle w:val="Hyperlink"/>
            <w:rFonts w:ascii="Arial Narrow" w:hAnsi="Arial Narrow"/>
            <w:noProof/>
          </w:rPr>
          <w:t>Appendix A</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Historical Financial Information Tables</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_Toc334702530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31</w:t>
        </w:r>
        <w:r w:rsidR="00C078ED" w:rsidRPr="008E5760">
          <w:rPr>
            <w:rFonts w:ascii="Arial Narrow" w:hAnsi="Arial Narrow"/>
            <w:noProof/>
            <w:webHidden/>
          </w:rPr>
          <w:fldChar w:fldCharType="end"/>
        </w:r>
      </w:hyperlink>
    </w:p>
    <w:p w:rsidR="008E5760" w:rsidRDefault="003539B0">
      <w:pPr>
        <w:pStyle w:val="TOC1"/>
        <w:tabs>
          <w:tab w:val="left" w:pos="1320"/>
          <w:tab w:val="right" w:leader="dot" w:pos="8023"/>
        </w:tabs>
        <w:rPr>
          <w:rFonts w:asciiTheme="minorHAnsi" w:eastAsiaTheme="minorEastAsia" w:hAnsiTheme="minorHAnsi" w:cstheme="minorBidi"/>
          <w:noProof/>
          <w:lang w:val="en-AU" w:eastAsia="en-AU"/>
        </w:rPr>
      </w:pPr>
      <w:hyperlink w:anchor="_Toc334702531" w:history="1">
        <w:r w:rsidR="008E5760" w:rsidRPr="008E5760">
          <w:rPr>
            <w:rStyle w:val="Hyperlink"/>
            <w:rFonts w:ascii="Arial Narrow" w:hAnsi="Arial Narrow"/>
            <w:noProof/>
          </w:rPr>
          <w:t>Appendix B</w:t>
        </w:r>
        <w:r w:rsidR="008E5760" w:rsidRPr="008E5760">
          <w:rPr>
            <w:rFonts w:ascii="Arial Narrow" w:eastAsiaTheme="minorEastAsia" w:hAnsi="Arial Narrow" w:cstheme="minorBidi"/>
            <w:noProof/>
            <w:lang w:val="en-AU" w:eastAsia="en-AU"/>
          </w:rPr>
          <w:tab/>
        </w:r>
        <w:r w:rsidR="008E5760" w:rsidRPr="008E5760">
          <w:rPr>
            <w:rStyle w:val="Hyperlink"/>
            <w:rFonts w:ascii="Arial Narrow" w:hAnsi="Arial Narrow"/>
            <w:noProof/>
          </w:rPr>
          <w:t>Glossary</w:t>
        </w:r>
        <w:r w:rsidR="008E5760" w:rsidRPr="008E5760">
          <w:rPr>
            <w:rFonts w:ascii="Arial Narrow" w:hAnsi="Arial Narrow"/>
            <w:noProof/>
            <w:webHidden/>
          </w:rPr>
          <w:tab/>
        </w:r>
        <w:r w:rsidR="00C078ED" w:rsidRPr="008E5760">
          <w:rPr>
            <w:rFonts w:ascii="Arial Narrow" w:hAnsi="Arial Narrow"/>
            <w:noProof/>
            <w:webHidden/>
          </w:rPr>
          <w:fldChar w:fldCharType="begin"/>
        </w:r>
        <w:r w:rsidR="008E5760" w:rsidRPr="008E5760">
          <w:rPr>
            <w:rFonts w:ascii="Arial Narrow" w:hAnsi="Arial Narrow"/>
            <w:noProof/>
            <w:webHidden/>
          </w:rPr>
          <w:instrText xml:space="preserve"> PAGEREF _Toc334702531 \h </w:instrText>
        </w:r>
        <w:r w:rsidR="00C078ED" w:rsidRPr="008E5760">
          <w:rPr>
            <w:rFonts w:ascii="Arial Narrow" w:hAnsi="Arial Narrow"/>
            <w:noProof/>
            <w:webHidden/>
          </w:rPr>
        </w:r>
        <w:r w:rsidR="00C078ED" w:rsidRPr="008E5760">
          <w:rPr>
            <w:rFonts w:ascii="Arial Narrow" w:hAnsi="Arial Narrow"/>
            <w:noProof/>
            <w:webHidden/>
          </w:rPr>
          <w:fldChar w:fldCharType="separate"/>
        </w:r>
        <w:r w:rsidR="004402CC">
          <w:rPr>
            <w:rFonts w:ascii="Arial Narrow" w:hAnsi="Arial Narrow"/>
            <w:noProof/>
            <w:webHidden/>
          </w:rPr>
          <w:t>34</w:t>
        </w:r>
        <w:r w:rsidR="00C078ED" w:rsidRPr="008E5760">
          <w:rPr>
            <w:rFonts w:ascii="Arial Narrow" w:hAnsi="Arial Narrow"/>
            <w:noProof/>
            <w:webHidden/>
          </w:rPr>
          <w:fldChar w:fldCharType="end"/>
        </w:r>
      </w:hyperlink>
    </w:p>
    <w:p w:rsidR="008E5760" w:rsidRDefault="00C078ED" w:rsidP="008E5760">
      <w:pPr>
        <w:pStyle w:val="Heading1"/>
        <w:rPr>
          <w:lang w:val="en-US" w:eastAsia="en-US"/>
        </w:rPr>
      </w:pPr>
      <w:r>
        <w:rPr>
          <w:lang w:val="en-US" w:eastAsia="en-US"/>
        </w:rPr>
        <w:fldChar w:fldCharType="end"/>
      </w:r>
      <w:bookmarkStart w:id="13" w:name="_Toc330915480"/>
      <w:bookmarkStart w:id="14" w:name="_Toc334702504"/>
    </w:p>
    <w:p w:rsidR="008E5760" w:rsidRDefault="008E5760" w:rsidP="008E5760">
      <w:pPr>
        <w:rPr>
          <w:sz w:val="28"/>
          <w:szCs w:val="28"/>
          <w:lang w:val="en-US" w:eastAsia="en-US"/>
        </w:rPr>
      </w:pPr>
      <w:r>
        <w:rPr>
          <w:lang w:val="en-US" w:eastAsia="en-US"/>
        </w:rPr>
        <w:br w:type="page"/>
      </w:r>
    </w:p>
    <w:p w:rsidR="000A7B79" w:rsidRPr="00255D02" w:rsidRDefault="000A7B79" w:rsidP="008E5760">
      <w:pPr>
        <w:pStyle w:val="Heading1"/>
      </w:pPr>
      <w:r w:rsidRPr="00255D02">
        <w:lastRenderedPageBreak/>
        <w:t>Section 1</w:t>
      </w:r>
      <w:r w:rsidRPr="00255D02">
        <w:tab/>
        <w:t>Executive Summary</w:t>
      </w:r>
      <w:bookmarkEnd w:id="13"/>
      <w:bookmarkEnd w:id="14"/>
    </w:p>
    <w:p w:rsidR="00614E79" w:rsidRPr="00893E42" w:rsidRDefault="00614E79" w:rsidP="0068747D">
      <w:r w:rsidRPr="00893E42">
        <w:t xml:space="preserve">This report provides an independent assessment of </w:t>
      </w:r>
      <w:r w:rsidR="00A7208A">
        <w:t>Gwydir Shire Council’s</w:t>
      </w:r>
      <w:r w:rsidR="00A7208A" w:rsidRPr="00893E42">
        <w:t xml:space="preserve"> </w:t>
      </w:r>
      <w:r w:rsidRPr="00893E42">
        <w:t>(the Council) financial capacity</w:t>
      </w:r>
      <w:r w:rsidR="00CA55CE">
        <w:t>,</w:t>
      </w:r>
      <w:r w:rsidRPr="00893E42">
        <w:t xml:space="preserve"> </w:t>
      </w:r>
      <w:r w:rsidR="00CA55CE">
        <w:t xml:space="preserve">and its future </w:t>
      </w:r>
      <w:r w:rsidR="00966D11">
        <w:t>S</w:t>
      </w:r>
      <w:r w:rsidR="00CA55CE">
        <w:t>ustainability</w:t>
      </w:r>
      <w:r w:rsidRPr="00893E42">
        <w:t>.  The analysis is based on a review of the historical performance, current financial position</w:t>
      </w:r>
      <w:r w:rsidR="00986C4D" w:rsidRPr="00893E42">
        <w:t>,</w:t>
      </w:r>
      <w:r w:rsidRPr="00893E42">
        <w:t xml:space="preserve"> and long term financial forecasts.  It also benc</w:t>
      </w:r>
      <w:r w:rsidR="00986C4D" w:rsidRPr="00893E42">
        <w:t>hmarks the Council against its</w:t>
      </w:r>
      <w:r w:rsidRPr="00893E42">
        <w:t xml:space="preserve"> peers using key ratios.</w:t>
      </w:r>
    </w:p>
    <w:p w:rsidR="00CA7001" w:rsidRPr="00893E42" w:rsidRDefault="001031D0" w:rsidP="0068747D">
      <w:r w:rsidRPr="00893E42">
        <w:t>TCorp’s approach has been to</w:t>
      </w:r>
      <w:r w:rsidR="00CA7001" w:rsidRPr="00893E42">
        <w:t>:</w:t>
      </w:r>
    </w:p>
    <w:p w:rsidR="00483AF6" w:rsidRPr="00E5674B" w:rsidRDefault="00EF3A2C" w:rsidP="00893E42">
      <w:pPr>
        <w:pStyle w:val="Subtitle"/>
        <w:ind w:left="714" w:hanging="357"/>
      </w:pPr>
      <w:r w:rsidRPr="00E5674B">
        <w:t>R</w:t>
      </w:r>
      <w:r w:rsidR="001031D0" w:rsidRPr="00E5674B">
        <w:t xml:space="preserve">eview the most recent </w:t>
      </w:r>
      <w:r w:rsidR="00A2559F">
        <w:t>four</w:t>
      </w:r>
      <w:r w:rsidR="001031D0" w:rsidRPr="00E5674B">
        <w:t xml:space="preserve"> years of Council’s consolidated financial results</w:t>
      </w:r>
    </w:p>
    <w:p w:rsidR="005E4771" w:rsidRDefault="00EF3A2C">
      <w:pPr>
        <w:pStyle w:val="Subtitle"/>
        <w:ind w:left="714" w:hanging="357"/>
      </w:pPr>
      <w:r w:rsidRPr="00E5674B">
        <w:t>C</w:t>
      </w:r>
      <w:r w:rsidR="00CA7001" w:rsidRPr="00E5674B">
        <w:t>onduct a detailed review of the Council’s 10 year financial forecasts</w:t>
      </w:r>
      <w:r w:rsidR="005E4771">
        <w:t>, with a particular focus on a council’s</w:t>
      </w:r>
      <w:r w:rsidR="00966D11">
        <w:t xml:space="preserve"> General</w:t>
      </w:r>
      <w:r w:rsidR="00483AF6" w:rsidRPr="00E5674B">
        <w:t xml:space="preserve"> </w:t>
      </w:r>
      <w:r w:rsidR="005E4771">
        <w:t>F</w:t>
      </w:r>
      <w:r w:rsidR="00483AF6" w:rsidRPr="00E5674B">
        <w:t>und</w:t>
      </w:r>
      <w:r w:rsidR="00DB14FC">
        <w:t>.  W</w:t>
      </w:r>
      <w:r w:rsidR="005E4771">
        <w:t xml:space="preserve">here a council operates a Water or </w:t>
      </w:r>
      <w:r w:rsidR="00A21438">
        <w:t>o</w:t>
      </w:r>
      <w:r w:rsidR="005E4771">
        <w:t xml:space="preserve">ther Fund the financial capacity of these other </w:t>
      </w:r>
      <w:r w:rsidR="00A21438">
        <w:t>F</w:t>
      </w:r>
      <w:r w:rsidR="005E4771">
        <w:t>unds may be reviewed where considered necessary.</w:t>
      </w:r>
    </w:p>
    <w:p w:rsidR="002C7549" w:rsidRDefault="000151A2" w:rsidP="000151A2">
      <w:r>
        <w:t>Council’s financial position has been weak over</w:t>
      </w:r>
      <w:r w:rsidR="00D2463B">
        <w:t xml:space="preserve"> the review period</w:t>
      </w:r>
      <w:r>
        <w:t xml:space="preserve">, with consecutive operating deficits when capital grants and contributions are </w:t>
      </w:r>
      <w:r w:rsidR="00045191">
        <w:t xml:space="preserve">included or </w:t>
      </w:r>
      <w:r>
        <w:t xml:space="preserve">excluded.  Some other </w:t>
      </w:r>
      <w:r w:rsidRPr="00FE3594">
        <w:t>observations</w:t>
      </w:r>
      <w:r>
        <w:t xml:space="preserve"> include</w:t>
      </w:r>
      <w:r w:rsidRPr="00FE3594">
        <w:t>:</w:t>
      </w:r>
    </w:p>
    <w:p w:rsidR="00D2463B" w:rsidRDefault="00D2463B" w:rsidP="00D2463B">
      <w:pPr>
        <w:pStyle w:val="Subtitle"/>
        <w:ind w:left="714" w:hanging="357"/>
      </w:pPr>
      <w:r>
        <w:t xml:space="preserve">Council’s underlying </w:t>
      </w:r>
      <w:r w:rsidR="000151A2">
        <w:t xml:space="preserve">operating </w:t>
      </w:r>
      <w:r>
        <w:t>performance</w:t>
      </w:r>
      <w:r w:rsidR="000151A2">
        <w:t xml:space="preserve">, </w:t>
      </w:r>
      <w:r>
        <w:t>measured by EBITDA</w:t>
      </w:r>
      <w:r w:rsidR="000151A2">
        <w:t>,</w:t>
      </w:r>
      <w:r>
        <w:t xml:space="preserve"> has increased </w:t>
      </w:r>
      <w:r w:rsidR="000151A2">
        <w:t>from $3.1m in 2009 to $4.6m in 2012 although this has been mainly</w:t>
      </w:r>
      <w:r>
        <w:t xml:space="preserve"> due to advance Financial Assistance Grant payments</w:t>
      </w:r>
      <w:r w:rsidR="000151A2">
        <w:t xml:space="preserve"> being received in 2011 and 2012</w:t>
      </w:r>
    </w:p>
    <w:p w:rsidR="00D2463B" w:rsidRDefault="00D2463B" w:rsidP="00D2463B">
      <w:pPr>
        <w:pStyle w:val="Subtitle"/>
        <w:ind w:left="714" w:hanging="357"/>
      </w:pPr>
      <w:r>
        <w:t>The Unrestricted Current Ratio and Council’s level of cash and investments indicate that it had sufficient liquidity</w:t>
      </w:r>
      <w:r w:rsidR="00405200">
        <w:t xml:space="preserve"> throughout the period</w:t>
      </w:r>
    </w:p>
    <w:p w:rsidR="00D2463B" w:rsidRDefault="00C312E7" w:rsidP="00D2463B">
      <w:pPr>
        <w:pStyle w:val="Subtitle"/>
        <w:ind w:left="714" w:hanging="357"/>
      </w:pPr>
      <w:r>
        <w:t>The</w:t>
      </w:r>
      <w:r w:rsidR="00D2463B">
        <w:t xml:space="preserve"> DSCR and Interest</w:t>
      </w:r>
      <w:r>
        <w:t xml:space="preserve"> Cover Ratio demonstrate that Council</w:t>
      </w:r>
      <w:r w:rsidR="00D2463B">
        <w:t xml:space="preserve"> has been able to repay its debt obligations</w:t>
      </w:r>
      <w:r>
        <w:t>, although</w:t>
      </w:r>
      <w:r w:rsidR="0077378B">
        <w:t xml:space="preserve"> borrowings</w:t>
      </w:r>
      <w:r>
        <w:t xml:space="preserve"> have increased</w:t>
      </w:r>
      <w:r w:rsidR="0077378B">
        <w:t xml:space="preserve"> in each year, limiting future borrowing capacity</w:t>
      </w:r>
    </w:p>
    <w:p w:rsidR="00F91A3A" w:rsidRPr="00FE3594" w:rsidRDefault="00F91A3A" w:rsidP="00F91A3A">
      <w:pPr>
        <w:pStyle w:val="Subtitle"/>
      </w:pPr>
      <w:r>
        <w:t>Council relies on grants and contributions to boost revenues, as indicated by an Own Source Operating Revenue Ratio below the benchmark throughout the review period, highlighting their limited financial flexibility</w:t>
      </w:r>
      <w:r w:rsidRPr="00FE3594">
        <w:t xml:space="preserve"> </w:t>
      </w:r>
    </w:p>
    <w:p w:rsidR="00614E79" w:rsidRPr="00893E42" w:rsidRDefault="00614E79" w:rsidP="0068747D">
      <w:r w:rsidRPr="00893E42">
        <w:t>The Counc</w:t>
      </w:r>
      <w:r w:rsidR="00D2463B">
        <w:t xml:space="preserve">il reported </w:t>
      </w:r>
      <w:r w:rsidR="00EF3A2C" w:rsidRPr="00893E42">
        <w:t>$</w:t>
      </w:r>
      <w:r w:rsidR="00D2463B">
        <w:t>53.6</w:t>
      </w:r>
      <w:r w:rsidRPr="00893E42">
        <w:t>m</w:t>
      </w:r>
      <w:r w:rsidR="00D2463B">
        <w:t xml:space="preserve"> of Infrastructure B</w:t>
      </w:r>
      <w:r w:rsidRPr="00893E42">
        <w:t>acklog in 201</w:t>
      </w:r>
      <w:r w:rsidR="00A2559F">
        <w:t>2</w:t>
      </w:r>
      <w:r w:rsidRPr="00893E42">
        <w:t xml:space="preserve"> </w:t>
      </w:r>
      <w:r w:rsidR="000E1AF1">
        <w:t xml:space="preserve">which </w:t>
      </w:r>
      <w:r w:rsidR="00966D11">
        <w:t>rep</w:t>
      </w:r>
      <w:r w:rsidR="000E1AF1">
        <w:t>r</w:t>
      </w:r>
      <w:r w:rsidR="00D2463B">
        <w:t>esents 33.0%</w:t>
      </w:r>
      <w:r w:rsidR="00966D11">
        <w:t xml:space="preserve"> of its</w:t>
      </w:r>
      <w:r w:rsidRPr="00893E42">
        <w:t xml:space="preserve"> in</w:t>
      </w:r>
      <w:r w:rsidR="00D2463B">
        <w:t xml:space="preserve">frastructure asset value of </w:t>
      </w:r>
      <w:r w:rsidR="00EF3A2C" w:rsidRPr="00893E42">
        <w:t>$</w:t>
      </w:r>
      <w:r w:rsidR="00D2463B">
        <w:t>162.6</w:t>
      </w:r>
      <w:r w:rsidRPr="00893E42">
        <w:t>m</w:t>
      </w:r>
      <w:r w:rsidR="00EF3A2C" w:rsidRPr="00893E42">
        <w:t xml:space="preserve">.  </w:t>
      </w:r>
      <w:r w:rsidRPr="00893E42">
        <w:t>Other observations include:</w:t>
      </w:r>
    </w:p>
    <w:p w:rsidR="00B90E1F" w:rsidRDefault="00B90E1F" w:rsidP="00893E42">
      <w:pPr>
        <w:pStyle w:val="Subtitle"/>
        <w:ind w:left="714" w:hanging="357"/>
      </w:pPr>
      <w:r>
        <w:t>The backlog has increased over the review period by $11.9m with the major backlog asset category</w:t>
      </w:r>
      <w:r w:rsidR="00BC5FD8">
        <w:t xml:space="preserve"> of</w:t>
      </w:r>
      <w:r>
        <w:t xml:space="preserve"> public roads increasing by $10.5m to $37.7m</w:t>
      </w:r>
    </w:p>
    <w:p w:rsidR="00D2463B" w:rsidRDefault="00D2463B" w:rsidP="00893E42">
      <w:pPr>
        <w:pStyle w:val="Subtitle"/>
        <w:ind w:left="714" w:hanging="357"/>
      </w:pPr>
      <w:r>
        <w:t>Council has been unable to sufficiently fund asset maintenance, renewals and expenditure in each review year as indicated by the Asset Maintenance, Buildings and Infrastructure Asset Renewal and Capital Expenditure Ratios being below their respective benchmarks</w:t>
      </w:r>
      <w:r w:rsidR="00405200">
        <w:t xml:space="preserve"> and this has contributed to the Infrastructure Backlog increase</w:t>
      </w:r>
    </w:p>
    <w:p w:rsidR="00C37630" w:rsidRPr="00893E42" w:rsidRDefault="00C37630" w:rsidP="0068747D">
      <w:r w:rsidRPr="00893E42">
        <w:t>The key observations from our review of Council’s 10 year forecasts for its General Fund</w:t>
      </w:r>
      <w:r w:rsidR="000E1AF1">
        <w:t xml:space="preserve"> </w:t>
      </w:r>
      <w:r w:rsidRPr="00893E42">
        <w:t>are:</w:t>
      </w:r>
    </w:p>
    <w:p w:rsidR="008859EE" w:rsidRDefault="008859EE" w:rsidP="008859EE">
      <w:pPr>
        <w:pStyle w:val="Subtitle"/>
      </w:pPr>
      <w:r>
        <w:t>Without a reduction in current service levels or obtaining new or additional sources of revenue, the General Fund is forecast to become insolvent within the 2014 financial year</w:t>
      </w:r>
    </w:p>
    <w:p w:rsidR="00110CEA" w:rsidRPr="00970C69" w:rsidRDefault="00110CEA" w:rsidP="00893E42">
      <w:pPr>
        <w:pStyle w:val="Subtitle"/>
        <w:ind w:left="714" w:hanging="357"/>
      </w:pPr>
      <w:r>
        <w:t xml:space="preserve">Council has completed their LTFP in real terms and the impact of inflation has therefore not been included.  </w:t>
      </w:r>
      <w:r w:rsidR="005727DA" w:rsidRPr="00970C69">
        <w:t>Th</w:t>
      </w:r>
      <w:r w:rsidR="008239F7">
        <w:t xml:space="preserve">ere </w:t>
      </w:r>
      <w:r w:rsidR="005727DA" w:rsidRPr="00970C69">
        <w:t>is</w:t>
      </w:r>
      <w:r w:rsidR="00970C69" w:rsidRPr="00970C69">
        <w:t xml:space="preserve"> </w:t>
      </w:r>
      <w:r w:rsidR="008239F7">
        <w:t xml:space="preserve">the potential </w:t>
      </w:r>
      <w:r w:rsidR="008859EE">
        <w:t>that</w:t>
      </w:r>
      <w:r w:rsidR="00970C69">
        <w:t xml:space="preserve"> the</w:t>
      </w:r>
      <w:r w:rsidR="008859EE">
        <w:t xml:space="preserve"> current</w:t>
      </w:r>
      <w:r w:rsidR="00970C69">
        <w:t xml:space="preserve"> forecast operating</w:t>
      </w:r>
      <w:r w:rsidR="00F611A0">
        <w:t xml:space="preserve"> deficits </w:t>
      </w:r>
      <w:r w:rsidR="008859EE">
        <w:t xml:space="preserve">are </w:t>
      </w:r>
      <w:r w:rsidR="00225A32">
        <w:t>not accurate</w:t>
      </w:r>
      <w:r w:rsidR="008859EE">
        <w:t xml:space="preserve"> as they may not take into account differing rates of change in revenues and expenses </w:t>
      </w:r>
    </w:p>
    <w:p w:rsidR="00466E89" w:rsidRDefault="00466E89" w:rsidP="00893E42">
      <w:pPr>
        <w:pStyle w:val="Subtitle"/>
        <w:ind w:left="714" w:hanging="357"/>
      </w:pPr>
      <w:r>
        <w:lastRenderedPageBreak/>
        <w:t xml:space="preserve">Council is expecting operating deficits to continue in each year of the review period </w:t>
      </w:r>
      <w:r w:rsidR="00405200">
        <w:t xml:space="preserve">at levels </w:t>
      </w:r>
      <w:r>
        <w:t xml:space="preserve">significantly </w:t>
      </w:r>
      <w:r w:rsidR="008859EE">
        <w:t>lower</w:t>
      </w:r>
      <w:r w:rsidR="00ED52ED">
        <w:t xml:space="preserve"> than</w:t>
      </w:r>
      <w:r>
        <w:t xml:space="preserve"> the negative 4% benchmark for the Operating Ratio</w:t>
      </w:r>
    </w:p>
    <w:p w:rsidR="00670FE5" w:rsidRPr="00670FE5" w:rsidRDefault="00C312E7" w:rsidP="00670FE5">
      <w:pPr>
        <w:pStyle w:val="Subtitle"/>
        <w:ind w:left="714" w:hanging="357"/>
      </w:pPr>
      <w:r>
        <w:t>Council will continue to be unable to fund sufficient asset renewals and capital expenditure over the forecast period which will lead to a further deterioration of the asset base as indicated by the Net A</w:t>
      </w:r>
      <w:r w:rsidR="00670FE5">
        <w:t>sset position deteriorat</w:t>
      </w:r>
      <w:r>
        <w:t>ing</w:t>
      </w:r>
      <w:r w:rsidR="00670FE5">
        <w:t xml:space="preserve"> from</w:t>
      </w:r>
      <w:r>
        <w:t xml:space="preserve"> $173.0m in 2012 to $103.3m in 2022 </w:t>
      </w:r>
      <w:r w:rsidR="00670FE5">
        <w:t xml:space="preserve"> </w:t>
      </w:r>
    </w:p>
    <w:p w:rsidR="00614E79" w:rsidRPr="00893E42" w:rsidRDefault="00CD43B3" w:rsidP="0068747D">
      <w:r w:rsidRPr="00893E42">
        <w:t>In our view, t</w:t>
      </w:r>
      <w:r w:rsidR="00614E79" w:rsidRPr="00893E42">
        <w:t xml:space="preserve">he Council </w:t>
      </w:r>
      <w:r w:rsidR="00466E89">
        <w:t xml:space="preserve">does not have </w:t>
      </w:r>
      <w:r w:rsidR="00614E79" w:rsidRPr="00893E42">
        <w:t xml:space="preserve">the capacity to undertake additional borrowings </w:t>
      </w:r>
      <w:r w:rsidR="00466E89">
        <w:t>within the General Fund, once the $3.9m is utilised in 2013 for bridge works</w:t>
      </w:r>
      <w:r w:rsidR="0028745C">
        <w:t xml:space="preserve"> and the Naroo aged care facility</w:t>
      </w:r>
      <w:r w:rsidR="00614E79" w:rsidRPr="00893E42">
        <w:t>.  This is based on the following analysis:</w:t>
      </w:r>
    </w:p>
    <w:p w:rsidR="00466E89" w:rsidRDefault="00466E89" w:rsidP="00893E42">
      <w:pPr>
        <w:pStyle w:val="Subtitle"/>
        <w:ind w:left="714" w:hanging="357"/>
      </w:pPr>
      <w:r>
        <w:t xml:space="preserve">Council’s DSCR and Interest Cover Ratio are forecast to be below their respective 2.00x and 4.00x benchmarks in each year of the forecast </w:t>
      </w:r>
      <w:r w:rsidR="00F91A3A">
        <w:t>period</w:t>
      </w:r>
    </w:p>
    <w:p w:rsidR="00A30820" w:rsidRDefault="00A47DC0">
      <w:pPr>
        <w:pStyle w:val="Subtitle"/>
      </w:pPr>
      <w:r>
        <w:t>The continuing operating deficits are undermining Council’s financial position</w:t>
      </w:r>
    </w:p>
    <w:p w:rsidR="006449CE" w:rsidRDefault="008859EE" w:rsidP="00946D06">
      <w:r>
        <w:t xml:space="preserve">Based on the information provided to TCorp for its review, Council is unsustainable. </w:t>
      </w:r>
      <w:r w:rsidR="006449CE">
        <w:t xml:space="preserve"> </w:t>
      </w:r>
      <w:r>
        <w:t>O</w:t>
      </w:r>
      <w:r w:rsidR="006449CE">
        <w:t>ur key observations are:</w:t>
      </w:r>
    </w:p>
    <w:p w:rsidR="00466E89" w:rsidRDefault="00135DD8">
      <w:pPr>
        <w:pStyle w:val="ListParagraph"/>
        <w:numPr>
          <w:ilvl w:val="0"/>
          <w:numId w:val="3"/>
        </w:numPr>
      </w:pPr>
      <w:r>
        <w:t>Council is</w:t>
      </w:r>
      <w:r w:rsidR="00F91A3A">
        <w:t xml:space="preserve"> not</w:t>
      </w:r>
      <w:r w:rsidR="00466E89">
        <w:t xml:space="preserve"> in a financial position to continue to operate the General Fund </w:t>
      </w:r>
      <w:r w:rsidR="00A47DC0">
        <w:t xml:space="preserve">at the </w:t>
      </w:r>
      <w:r w:rsidR="00466E89">
        <w:t>service levels that are currently in place</w:t>
      </w:r>
    </w:p>
    <w:p w:rsidR="00466E89" w:rsidRDefault="00FA3AB3" w:rsidP="00C312E7">
      <w:pPr>
        <w:pStyle w:val="ListParagraph"/>
        <w:numPr>
          <w:ilvl w:val="0"/>
          <w:numId w:val="3"/>
        </w:numPr>
      </w:pPr>
      <w:r>
        <w:t>Council is forecast to run out of funds in 2014 within the General Fund highlight</w:t>
      </w:r>
      <w:r w:rsidR="0098641A">
        <w:t>ing</w:t>
      </w:r>
      <w:r>
        <w:t xml:space="preserve"> the inability of Council to meet their ongoing expenses</w:t>
      </w:r>
      <w:r w:rsidR="00A47DC0">
        <w:t xml:space="preserve"> within the short term</w:t>
      </w:r>
      <w:r w:rsidR="0098641A">
        <w:t xml:space="preserve">  </w:t>
      </w:r>
    </w:p>
    <w:p w:rsidR="008F0EB1" w:rsidRDefault="00670FE5" w:rsidP="0098641A">
      <w:pPr>
        <w:pStyle w:val="ListParagraph"/>
        <w:numPr>
          <w:ilvl w:val="0"/>
          <w:numId w:val="3"/>
        </w:numPr>
      </w:pPr>
      <w:r>
        <w:t xml:space="preserve">Council recognises that there </w:t>
      </w:r>
      <w:r w:rsidR="00C312E7">
        <w:t>are shortfalls within their IP&amp;R documentation</w:t>
      </w:r>
      <w:r>
        <w:t xml:space="preserve"> following the completion of these documents for the first time.</w:t>
      </w:r>
      <w:r w:rsidR="00C312E7">
        <w:t xml:space="preserve">  Once the AMP and LTFP are refined in future versions then the financial position may provide positive </w:t>
      </w:r>
      <w:r w:rsidR="00A47DC0">
        <w:t>improvements</w:t>
      </w:r>
      <w:r w:rsidR="00C312E7">
        <w:t xml:space="preserve"> from the </w:t>
      </w:r>
      <w:r w:rsidR="00A47DC0">
        <w:t>initial</w:t>
      </w:r>
      <w:r w:rsidR="00C312E7">
        <w:t xml:space="preserve"> versions</w:t>
      </w:r>
      <w:r w:rsidR="0098641A">
        <w:t>.  Council has indicated that the liquidity position may appear worse in the forecast than the likely position due to a problem with their LTFP modelling program</w:t>
      </w:r>
    </w:p>
    <w:p w:rsidR="00110CEA" w:rsidRDefault="00110CEA" w:rsidP="00C312E7">
      <w:pPr>
        <w:pStyle w:val="ListParagraph"/>
        <w:numPr>
          <w:ilvl w:val="0"/>
          <w:numId w:val="3"/>
        </w:numPr>
      </w:pPr>
      <w:r>
        <w:t xml:space="preserve">We recommend that future versions of the LTFP are completed in nominal terms in line with the majority of other councils to provide a more </w:t>
      </w:r>
      <w:r w:rsidR="008859EE">
        <w:t>complete</w:t>
      </w:r>
      <w:r>
        <w:t xml:space="preserve"> project</w:t>
      </w:r>
      <w:r w:rsidR="008859EE">
        <w:t>ion of Council’s</w:t>
      </w:r>
      <w:r>
        <w:t xml:space="preserve"> future financial position</w:t>
      </w:r>
    </w:p>
    <w:p w:rsidR="00596390" w:rsidRDefault="00596390" w:rsidP="00596390">
      <w:r>
        <w:t xml:space="preserve">In respect of the Benchmarking analysis TCorp has compared the Council’s key ratios with other councils in DLG </w:t>
      </w:r>
      <w:r w:rsidR="00091A2B">
        <w:t>G</w:t>
      </w:r>
      <w:r>
        <w:t>roup 10.  The key observations are:</w:t>
      </w:r>
    </w:p>
    <w:p w:rsidR="00820175" w:rsidRDefault="00596390" w:rsidP="00596390">
      <w:pPr>
        <w:pStyle w:val="ListParagraph"/>
        <w:numPr>
          <w:ilvl w:val="0"/>
          <w:numId w:val="6"/>
        </w:numPr>
        <w:ind w:left="709" w:hanging="349"/>
      </w:pPr>
      <w:r>
        <w:t>The Council has weak financial flexibility with the Operating Ratio below both the benchmark and the group’</w:t>
      </w:r>
      <w:r w:rsidR="00820175">
        <w:t xml:space="preserve">s average. </w:t>
      </w:r>
      <w:r w:rsidR="00355955">
        <w:t xml:space="preserve"> </w:t>
      </w:r>
      <w:r w:rsidR="001B5D09">
        <w:t>Council has significant forecast deficits</w:t>
      </w:r>
    </w:p>
    <w:p w:rsidR="00596390" w:rsidRDefault="00820175" w:rsidP="00596390">
      <w:pPr>
        <w:pStyle w:val="ListParagraph"/>
        <w:numPr>
          <w:ilvl w:val="0"/>
          <w:numId w:val="6"/>
        </w:numPr>
        <w:ind w:left="709" w:hanging="349"/>
      </w:pPr>
      <w:r>
        <w:t xml:space="preserve">The Council has </w:t>
      </w:r>
      <w:r w:rsidR="001B5D09">
        <w:t>a marginal level of</w:t>
      </w:r>
      <w:r>
        <w:t xml:space="preserve"> liquidity at present with the Unrestricted Current Ratio above the benchmark but trending downwards. </w:t>
      </w:r>
      <w:r w:rsidR="00355955">
        <w:t xml:space="preserve"> </w:t>
      </w:r>
      <w:r>
        <w:t>Should this continue, it may pose liquidity problems in future</w:t>
      </w:r>
    </w:p>
    <w:p w:rsidR="00596390" w:rsidRDefault="00820175" w:rsidP="00596390">
      <w:pPr>
        <w:pStyle w:val="ListParagraph"/>
        <w:numPr>
          <w:ilvl w:val="0"/>
          <w:numId w:val="6"/>
        </w:numPr>
        <w:ind w:left="709" w:hanging="349"/>
      </w:pPr>
      <w:r>
        <w:t xml:space="preserve">The Council has debt capacity that can sustain its current borrowings </w:t>
      </w:r>
      <w:r w:rsidR="001B5D09">
        <w:t>but</w:t>
      </w:r>
      <w:r w:rsidR="00355955">
        <w:t xml:space="preserve"> </w:t>
      </w:r>
      <w:r>
        <w:t xml:space="preserve">cannot support any </w:t>
      </w:r>
      <w:r w:rsidR="001B5D09">
        <w:t>additional</w:t>
      </w:r>
      <w:r>
        <w:t xml:space="preserve"> debts in the future</w:t>
      </w:r>
    </w:p>
    <w:p w:rsidR="00596390" w:rsidRDefault="00820175" w:rsidP="00596390">
      <w:pPr>
        <w:pStyle w:val="ListParagraph"/>
        <w:numPr>
          <w:ilvl w:val="0"/>
          <w:numId w:val="6"/>
        </w:numPr>
        <w:ind w:left="709" w:hanging="349"/>
      </w:pPr>
      <w:r>
        <w:t xml:space="preserve">Should the </w:t>
      </w:r>
      <w:r w:rsidR="003E78A8">
        <w:t xml:space="preserve">downward </w:t>
      </w:r>
      <w:r>
        <w:t xml:space="preserve">trend of under-expenditure in capital expenditure, assets maintenance and renewals </w:t>
      </w:r>
      <w:r w:rsidR="001F4D3A">
        <w:t>continue</w:t>
      </w:r>
      <w:r>
        <w:t>, the Infrastructure Backlog will continue to grow in the future</w:t>
      </w:r>
    </w:p>
    <w:p w:rsidR="00255D02" w:rsidRDefault="00255D02">
      <w:pPr>
        <w:spacing w:before="0" w:after="0" w:line="240" w:lineRule="auto"/>
        <w:jc w:val="left"/>
        <w:rPr>
          <w:b/>
          <w:sz w:val="28"/>
          <w:szCs w:val="28"/>
        </w:rPr>
      </w:pPr>
      <w:r>
        <w:rPr>
          <w:b/>
          <w:sz w:val="28"/>
          <w:szCs w:val="28"/>
        </w:rPr>
        <w:br w:type="page"/>
      </w:r>
    </w:p>
    <w:p w:rsidR="000A7B79" w:rsidRPr="00893E42" w:rsidRDefault="000A7B79" w:rsidP="00893E42">
      <w:pPr>
        <w:pStyle w:val="Heading1"/>
      </w:pPr>
      <w:bookmarkStart w:id="15" w:name="_Toc330915481"/>
      <w:bookmarkStart w:id="16" w:name="_Toc334702505"/>
      <w:r w:rsidRPr="00893E42">
        <w:lastRenderedPageBreak/>
        <w:t>Section 2</w:t>
      </w:r>
      <w:r w:rsidRPr="00893E42">
        <w:tab/>
        <w:t>Introduction</w:t>
      </w:r>
      <w:bookmarkEnd w:id="15"/>
      <w:bookmarkEnd w:id="16"/>
    </w:p>
    <w:p w:rsidR="000A7B79" w:rsidRPr="00255D02" w:rsidRDefault="000A7B79" w:rsidP="00893E42">
      <w:pPr>
        <w:pStyle w:val="Heading2"/>
        <w:spacing w:before="220" w:after="220" w:line="280" w:lineRule="exact"/>
      </w:pPr>
      <w:bookmarkStart w:id="17" w:name="_Toc330915482"/>
      <w:bookmarkStart w:id="18" w:name="_Toc334702506"/>
      <w:r w:rsidRPr="00255D02">
        <w:t>2.1:</w:t>
      </w:r>
      <w:r w:rsidRPr="00255D02">
        <w:tab/>
        <w:t>Purpose of Report</w:t>
      </w:r>
      <w:bookmarkEnd w:id="17"/>
      <w:bookmarkEnd w:id="18"/>
    </w:p>
    <w:p w:rsidR="000A7B79" w:rsidRPr="00893E42" w:rsidRDefault="000A7B79" w:rsidP="0068747D">
      <w:r w:rsidRPr="00893E42">
        <w:t>This report provides the Council with an independent assessment of their financial capacity</w:t>
      </w:r>
      <w:r w:rsidR="006449CE">
        <w:t xml:space="preserve">, </w:t>
      </w:r>
      <w:r w:rsidR="00966D11">
        <w:t>S</w:t>
      </w:r>
      <w:r w:rsidR="006449CE">
        <w:t>ustainability</w:t>
      </w:r>
      <w:r w:rsidRPr="00893E42">
        <w:t xml:space="preserve"> and performance measured against a peer group of councils</w:t>
      </w:r>
      <w:r w:rsidR="00653C58">
        <w:t>.  It</w:t>
      </w:r>
      <w:r w:rsidRPr="00893E42">
        <w:t xml:space="preserve"> will complement </w:t>
      </w:r>
      <w:r w:rsidR="00653C58">
        <w:t>Council’s</w:t>
      </w:r>
      <w:r w:rsidRPr="00893E42">
        <w:t xml:space="preserve"> internal due diligence, the IP&amp;R system of the Council and the DLG</w:t>
      </w:r>
      <w:r w:rsidR="006449CE">
        <w:t xml:space="preserve">, together with the work being undertaken by the Independent Local Government </w:t>
      </w:r>
      <w:r w:rsidR="00522A44">
        <w:t>R</w:t>
      </w:r>
      <w:r w:rsidR="006449CE">
        <w:t>eview Panel</w:t>
      </w:r>
      <w:r w:rsidRPr="00893E42">
        <w:t>.</w:t>
      </w:r>
    </w:p>
    <w:p w:rsidR="000A7B79" w:rsidRPr="00893E42" w:rsidRDefault="000A7B79" w:rsidP="0068747D">
      <w:r w:rsidRPr="00893E42">
        <w:t xml:space="preserve">The report is to be provided to the </w:t>
      </w:r>
      <w:r w:rsidR="00522A44">
        <w:t>DLG and the Independent Local Government Review Panel</w:t>
      </w:r>
      <w:r w:rsidRPr="00893E42">
        <w:t>.</w:t>
      </w:r>
    </w:p>
    <w:p w:rsidR="000A7B79" w:rsidRPr="00893E42" w:rsidRDefault="000A7B79" w:rsidP="0068747D">
      <w:r w:rsidRPr="00893E42">
        <w:t>The key areas focused on are:</w:t>
      </w:r>
    </w:p>
    <w:p w:rsidR="000A7B79" w:rsidRDefault="000A7B79" w:rsidP="00893E42">
      <w:pPr>
        <w:pStyle w:val="Subtitle"/>
        <w:ind w:left="714" w:hanging="357"/>
      </w:pPr>
      <w:r w:rsidRPr="00255D02">
        <w:t>The financial capacity of the Council</w:t>
      </w:r>
    </w:p>
    <w:p w:rsidR="008F0EB1" w:rsidRDefault="006449CE">
      <w:pPr>
        <w:pStyle w:val="Subtitle"/>
      </w:pPr>
      <w:r>
        <w:t xml:space="preserve">The long term </w:t>
      </w:r>
      <w:r w:rsidR="00966D11">
        <w:t>S</w:t>
      </w:r>
      <w:r>
        <w:t>ustainability of the Council</w:t>
      </w:r>
    </w:p>
    <w:p w:rsidR="000A7B79" w:rsidRPr="00255D02" w:rsidRDefault="000A7B79" w:rsidP="00893E42">
      <w:pPr>
        <w:pStyle w:val="Subtitle"/>
        <w:ind w:left="714" w:hanging="357"/>
      </w:pPr>
      <w:r w:rsidRPr="00255D02">
        <w:t>The financial performance of the Council in comparison to a range of similar councils and measured against prudent benchmarks</w:t>
      </w:r>
    </w:p>
    <w:p w:rsidR="00FB5E80" w:rsidRPr="00374A23" w:rsidRDefault="00FB5E80" w:rsidP="00893E42">
      <w:pPr>
        <w:pStyle w:val="Heading2"/>
        <w:spacing w:before="220" w:after="220" w:line="280" w:lineRule="exact"/>
      </w:pPr>
      <w:bookmarkStart w:id="19" w:name="_Toc330915483"/>
      <w:bookmarkStart w:id="20" w:name="_Toc334702507"/>
      <w:r w:rsidRPr="00374A23">
        <w:t>2.2:</w:t>
      </w:r>
      <w:r w:rsidRPr="00374A23">
        <w:tab/>
        <w:t>Scope and Methodology</w:t>
      </w:r>
      <w:bookmarkEnd w:id="19"/>
      <w:bookmarkEnd w:id="20"/>
    </w:p>
    <w:p w:rsidR="00052A63" w:rsidRPr="00893E42" w:rsidRDefault="00052A63" w:rsidP="0068747D">
      <w:r w:rsidRPr="00893E42">
        <w:t>TCorp’s approach was to:</w:t>
      </w:r>
    </w:p>
    <w:p w:rsidR="00052A63" w:rsidRPr="009237DF" w:rsidRDefault="00052A63" w:rsidP="00893E42">
      <w:pPr>
        <w:pStyle w:val="Subtitle"/>
        <w:ind w:left="714" w:hanging="357"/>
      </w:pPr>
      <w:r w:rsidRPr="009237DF">
        <w:t xml:space="preserve">Review the most recent </w:t>
      </w:r>
      <w:r w:rsidR="00444EB8">
        <w:t>four</w:t>
      </w:r>
      <w:r w:rsidRPr="009237DF">
        <w:t xml:space="preserve"> years of the Council’s consolidated audited accounts using financial ratio analysis.  In undertaking the ratio analysis TCorp has utilised ratio’s substantially consistent with those used by Queensland Treasury Corporation (QTC) initially in its review of Queensland Local Government (2008), and subsequently updated in 2011 </w:t>
      </w:r>
    </w:p>
    <w:p w:rsidR="00B47F87" w:rsidRDefault="00052A63">
      <w:pPr>
        <w:pStyle w:val="Subtitle"/>
        <w:ind w:left="714" w:hanging="357"/>
      </w:pPr>
      <w:r w:rsidRPr="009237DF">
        <w:t>Conduct a detailed review of the Council’s 10 year financial forecasts including a review of the key assumptions that underpin the financial forecasts.  The review of the financial forecasts focused on the Council</w:t>
      </w:r>
      <w:r w:rsidR="00C26534">
        <w:t>’s General</w:t>
      </w:r>
      <w:r w:rsidRPr="009237DF">
        <w:t xml:space="preserve"> </w:t>
      </w:r>
      <w:r w:rsidR="005E4771">
        <w:t>F</w:t>
      </w:r>
      <w:r w:rsidRPr="009237DF">
        <w:t>und</w:t>
      </w:r>
    </w:p>
    <w:p w:rsidR="00E00494" w:rsidRDefault="00052A63">
      <w:pPr>
        <w:pStyle w:val="Subtitle"/>
        <w:ind w:left="714" w:hanging="357"/>
      </w:pPr>
      <w:r w:rsidRPr="009237DF">
        <w:t>Identify significant changes to future financial forecasts from existing financial performance and highlight risks associated with such forecasts</w:t>
      </w:r>
      <w:r w:rsidR="006449CE">
        <w:t xml:space="preserve">, including those that could impact Council’s </w:t>
      </w:r>
      <w:r w:rsidR="00966D11">
        <w:t>S</w:t>
      </w:r>
      <w:r w:rsidR="006449CE">
        <w:t>ustainability</w:t>
      </w:r>
    </w:p>
    <w:p w:rsidR="00052A63" w:rsidRPr="009237DF" w:rsidRDefault="00052A63" w:rsidP="00893E42">
      <w:pPr>
        <w:pStyle w:val="Subtitle"/>
        <w:ind w:left="714" w:hanging="357"/>
      </w:pPr>
      <w:r w:rsidRPr="009237DF">
        <w:t>Conduct a benchmark review of a Council’s performance against its peer group</w:t>
      </w:r>
    </w:p>
    <w:p w:rsidR="00052A63" w:rsidRPr="009237DF" w:rsidRDefault="00052A63" w:rsidP="00893E42">
      <w:pPr>
        <w:pStyle w:val="Subtitle"/>
        <w:ind w:left="714" w:hanging="357"/>
      </w:pPr>
      <w:r w:rsidRPr="009237DF">
        <w:t xml:space="preserve">Prepare a report that provides an overview of the Council’s existing and forecast financial </w:t>
      </w:r>
      <w:r w:rsidR="00760F10">
        <w:t>p</w:t>
      </w:r>
      <w:r w:rsidRPr="009237DF">
        <w:t>osition and its capacity to meet increased debt commitments</w:t>
      </w:r>
      <w:r w:rsidR="006449CE">
        <w:t xml:space="preserve"> and achieve long term </w:t>
      </w:r>
      <w:r w:rsidR="00966D11">
        <w:t>S</w:t>
      </w:r>
      <w:r w:rsidR="006449CE">
        <w:t>ustainability</w:t>
      </w:r>
    </w:p>
    <w:p w:rsidR="00052A63" w:rsidRPr="009237DF" w:rsidRDefault="00052A63" w:rsidP="00893E42">
      <w:pPr>
        <w:pStyle w:val="Subtitle"/>
        <w:ind w:left="714" w:hanging="357"/>
      </w:pPr>
      <w:r w:rsidRPr="009237DF">
        <w:t>Conduct a high level review of the Council’s IP&amp;R documents for factors which could impact the Council’s financial capacity</w:t>
      </w:r>
      <w:r w:rsidR="006449CE">
        <w:t>,</w:t>
      </w:r>
      <w:r w:rsidRPr="009237DF">
        <w:t xml:space="preserve"> performance</w:t>
      </w:r>
      <w:r w:rsidR="006449CE">
        <w:t xml:space="preserve"> and </w:t>
      </w:r>
      <w:r w:rsidR="00966D11">
        <w:t>S</w:t>
      </w:r>
      <w:r w:rsidR="006449CE">
        <w:t>ustainability</w:t>
      </w:r>
    </w:p>
    <w:p w:rsidR="00052A63" w:rsidRPr="00893E42" w:rsidRDefault="00052A63" w:rsidP="0068747D">
      <w:r w:rsidRPr="00893E42">
        <w:t>In undertaking its work, TCorp relied on:</w:t>
      </w:r>
    </w:p>
    <w:p w:rsidR="00052A63" w:rsidRPr="009237DF" w:rsidRDefault="00052A63" w:rsidP="00893E42">
      <w:pPr>
        <w:pStyle w:val="Subtitle"/>
        <w:ind w:left="714" w:hanging="357"/>
      </w:pPr>
      <w:r w:rsidRPr="009237DF">
        <w:t>Council’s audited financial statements (20</w:t>
      </w:r>
      <w:r w:rsidR="00A2559F">
        <w:t>08/09 to 2011/12</w:t>
      </w:r>
      <w:r w:rsidRPr="009237DF">
        <w:t>)</w:t>
      </w:r>
    </w:p>
    <w:p w:rsidR="00052A63" w:rsidRPr="009237DF" w:rsidRDefault="00052A63" w:rsidP="00893E42">
      <w:pPr>
        <w:pStyle w:val="Subtitle"/>
        <w:ind w:left="714" w:hanging="357"/>
      </w:pPr>
      <w:r w:rsidRPr="009237DF">
        <w:t>Council’s financial forecast model</w:t>
      </w:r>
    </w:p>
    <w:p w:rsidR="00052A63" w:rsidRPr="009237DF" w:rsidRDefault="00052A63" w:rsidP="00893E42">
      <w:pPr>
        <w:pStyle w:val="Subtitle"/>
        <w:ind w:left="714" w:hanging="357"/>
      </w:pPr>
      <w:r w:rsidRPr="009237DF">
        <w:t>Council’s IP&amp;R documents</w:t>
      </w:r>
    </w:p>
    <w:p w:rsidR="00052A63" w:rsidRPr="009237DF" w:rsidRDefault="00052A63" w:rsidP="00893E42">
      <w:pPr>
        <w:pStyle w:val="Subtitle"/>
        <w:ind w:left="714" w:hanging="357"/>
      </w:pPr>
      <w:r w:rsidRPr="009237DF">
        <w:t>Discussions with Council officers</w:t>
      </w:r>
    </w:p>
    <w:p w:rsidR="00052A63" w:rsidRPr="009237DF" w:rsidRDefault="00052A63" w:rsidP="00893E42">
      <w:pPr>
        <w:pStyle w:val="Subtitle"/>
        <w:ind w:left="714" w:hanging="357"/>
      </w:pPr>
      <w:r w:rsidRPr="009237DF">
        <w:t>Other publicly available information such as information published on the IPART website</w:t>
      </w:r>
    </w:p>
    <w:p w:rsidR="00052A63" w:rsidRPr="009237DF" w:rsidRDefault="00052A63" w:rsidP="00A7208A">
      <w:pPr>
        <w:pStyle w:val="Subtitle"/>
        <w:numPr>
          <w:ilvl w:val="0"/>
          <w:numId w:val="0"/>
        </w:numPr>
        <w:ind w:left="714"/>
      </w:pPr>
    </w:p>
    <w:p w:rsidR="00FC50E0" w:rsidRDefault="00FC50E0" w:rsidP="00FC50E0">
      <w:pPr>
        <w:pStyle w:val="Title"/>
        <w:rPr>
          <w:u w:val="none"/>
        </w:rPr>
      </w:pPr>
      <w:r>
        <w:rPr>
          <w:u w:val="none"/>
        </w:rPr>
        <w:lastRenderedPageBreak/>
        <w:t>In completing the report, TCorp worked closely with Council management to analyse and understand the information gathered.  The Council was given a draft copy of the report for their review and comment.  Based on our discussions with Council:</w:t>
      </w:r>
    </w:p>
    <w:p w:rsidR="00FC50E0" w:rsidRPr="008477D8" w:rsidRDefault="00FC50E0" w:rsidP="00FC50E0">
      <w:pPr>
        <w:pStyle w:val="Subtitle"/>
        <w:ind w:left="714" w:hanging="357"/>
      </w:pPr>
      <w:r>
        <w:t>Council has acknowledged</w:t>
      </w:r>
      <w:r w:rsidR="00D6101F">
        <w:t xml:space="preserve"> TCorp’s comments but has stated that it expects improvements in their IP&amp;R processes, data and results to significantly improve in the short to medium term</w:t>
      </w:r>
    </w:p>
    <w:p w:rsidR="009B5C58" w:rsidRDefault="009B5C58" w:rsidP="00DE2E88">
      <w:pPr>
        <w:pStyle w:val="Title"/>
      </w:pPr>
      <w:r>
        <w:t xml:space="preserve">Definition of Sustainability </w:t>
      </w:r>
    </w:p>
    <w:p w:rsidR="009B5C58" w:rsidRDefault="0075231F" w:rsidP="008E5760">
      <w:r w:rsidRPr="0075231F">
        <w:t>In conducting our reviews</w:t>
      </w:r>
      <w:r w:rsidR="009B5C58">
        <w:t>, TCorp has relied upon the following definition of sustainability to provide guidance:</w:t>
      </w:r>
    </w:p>
    <w:p w:rsidR="008F0EB1" w:rsidRDefault="0075231F" w:rsidP="00DE153F">
      <w:r w:rsidRPr="008E5760">
        <w:t>"</w:t>
      </w:r>
      <w:r w:rsidR="00DE153F" w:rsidRPr="00DE153F">
        <w:t>A local government will be financially sustainable over the long term when it is able to generate sufficient funds to provide the levels of service and infrastructure agreed with its community</w:t>
      </w:r>
      <w:r w:rsidR="00DE153F">
        <w:t>.</w:t>
      </w:r>
      <w:r w:rsidRPr="00DE153F">
        <w:t>"</w:t>
      </w:r>
    </w:p>
    <w:p w:rsidR="00210228" w:rsidRDefault="00210228" w:rsidP="00DE2E88">
      <w:pPr>
        <w:pStyle w:val="Title"/>
      </w:pPr>
      <w:r>
        <w:t>Benchmark Ratios</w:t>
      </w:r>
    </w:p>
    <w:p w:rsidR="00BA60A0" w:rsidRDefault="00AE547D" w:rsidP="0068747D">
      <w:r w:rsidRPr="00AE547D">
        <w:t>In conducting our review of the Councils’ financial performance</w:t>
      </w:r>
      <w:r w:rsidR="006449CE">
        <w:t>,</w:t>
      </w:r>
      <w:r w:rsidRPr="00AE547D">
        <w:t xml:space="preserve"> forecasts</w:t>
      </w:r>
      <w:r w:rsidR="006449CE">
        <w:t xml:space="preserve"> and </w:t>
      </w:r>
      <w:r w:rsidR="00966D11">
        <w:t>S</w:t>
      </w:r>
      <w:r w:rsidR="006449CE">
        <w:t>ustainability</w:t>
      </w:r>
      <w:r w:rsidRPr="00AE547D">
        <w:t xml:space="preserve"> we have measured performance against a set of benchmarks.  These benchmarks are listed below.  </w:t>
      </w:r>
    </w:p>
    <w:p w:rsidR="00BA60A0" w:rsidRDefault="00AE547D" w:rsidP="0068747D">
      <w:r w:rsidRPr="00AE547D">
        <w:t xml:space="preserve">Benchmarks do not necessarily represent a pass or fail in respect of any particular area.  One-off projects or events can impact a council’s performance against a benchmark for a short period.  Other factors such as the trends in results against the benchmarks are critical as well as the overall performance against all the benchmarks.  </w:t>
      </w:r>
    </w:p>
    <w:p w:rsidR="00AE547D" w:rsidRDefault="00AE547D" w:rsidP="0068747D">
      <w:r w:rsidRPr="00AE547D">
        <w:t>As councils can have significant differences in their size and population densities, it is important to note that one benchmark does not fit all.</w:t>
      </w:r>
      <w:r w:rsidR="00BA60A0">
        <w:t xml:space="preserve">  </w:t>
      </w:r>
      <w:r w:rsidRPr="00AE547D">
        <w:t>For example, the Cash Expense Ratio should be greater for smaller councils than larger councils as a protection against variation in performance and financial shocks.</w:t>
      </w:r>
      <w:r w:rsidR="00BA60A0">
        <w:t xml:space="preserve">  </w:t>
      </w:r>
      <w:r w:rsidRPr="00AE547D">
        <w:t>Therefore these benchmarks are intended as a guide to performance.</w:t>
      </w:r>
    </w:p>
    <w:p w:rsidR="00210228" w:rsidRPr="00893E42" w:rsidRDefault="00210228" w:rsidP="0068747D">
      <w:r w:rsidRPr="00893E42">
        <w:t>The Glossary attached to this report explains how each ratio is calculated.</w:t>
      </w:r>
    </w:p>
    <w:tbl>
      <w:tblPr>
        <w:tblW w:w="5619" w:type="dxa"/>
        <w:jc w:val="center"/>
        <w:tblInd w:w="590" w:type="dxa"/>
        <w:tblLook w:val="04A0" w:firstRow="1" w:lastRow="0" w:firstColumn="1" w:lastColumn="0" w:noHBand="0" w:noVBand="1"/>
      </w:tblPr>
      <w:tblGrid>
        <w:gridCol w:w="4180"/>
        <w:gridCol w:w="1439"/>
      </w:tblGrid>
      <w:tr w:rsidR="00210228" w:rsidRPr="008E54D1" w:rsidTr="00282216">
        <w:trPr>
          <w:trHeight w:val="330"/>
          <w:jc w:val="center"/>
        </w:trPr>
        <w:tc>
          <w:tcPr>
            <w:tcW w:w="4180" w:type="dxa"/>
            <w:tcBorders>
              <w:top w:val="single" w:sz="4" w:space="0" w:color="auto"/>
              <w:left w:val="single" w:sz="4" w:space="0" w:color="auto"/>
              <w:bottom w:val="single" w:sz="4" w:space="0" w:color="auto"/>
              <w:right w:val="single" w:sz="4" w:space="0" w:color="auto"/>
            </w:tcBorders>
            <w:shd w:val="clear" w:color="000000" w:fill="BACFF8"/>
            <w:noWrap/>
            <w:vAlign w:val="bottom"/>
            <w:hideMark/>
          </w:tcPr>
          <w:p w:rsidR="00210228" w:rsidRPr="008E54D1" w:rsidRDefault="00210228" w:rsidP="00ED73F4">
            <w:pPr>
              <w:spacing w:before="0" w:after="0" w:line="240" w:lineRule="auto"/>
              <w:jc w:val="center"/>
              <w:rPr>
                <w:rFonts w:cs="Calibri"/>
                <w:b/>
                <w:bCs/>
                <w:color w:val="000000"/>
                <w:spacing w:val="0"/>
                <w:kern w:val="0"/>
              </w:rPr>
            </w:pPr>
            <w:r w:rsidRPr="008E54D1">
              <w:rPr>
                <w:rFonts w:cs="Calibri"/>
                <w:b/>
                <w:bCs/>
                <w:color w:val="000000"/>
                <w:spacing w:val="0"/>
                <w:kern w:val="0"/>
              </w:rPr>
              <w:t>Ratio</w:t>
            </w:r>
          </w:p>
        </w:tc>
        <w:tc>
          <w:tcPr>
            <w:tcW w:w="1439" w:type="dxa"/>
            <w:tcBorders>
              <w:top w:val="single" w:sz="4" w:space="0" w:color="auto"/>
              <w:left w:val="nil"/>
              <w:bottom w:val="single" w:sz="4" w:space="0" w:color="auto"/>
              <w:right w:val="single" w:sz="4" w:space="0" w:color="auto"/>
            </w:tcBorders>
            <w:shd w:val="clear" w:color="000000" w:fill="BACFF8"/>
            <w:noWrap/>
            <w:vAlign w:val="bottom"/>
            <w:hideMark/>
          </w:tcPr>
          <w:p w:rsidR="00210228" w:rsidRPr="008E54D1" w:rsidRDefault="00210228" w:rsidP="00ED73F4">
            <w:pPr>
              <w:spacing w:before="0" w:after="0" w:line="240" w:lineRule="auto"/>
              <w:jc w:val="center"/>
              <w:rPr>
                <w:rFonts w:cs="Calibri"/>
                <w:b/>
                <w:bCs/>
                <w:color w:val="000000"/>
                <w:spacing w:val="0"/>
                <w:kern w:val="0"/>
              </w:rPr>
            </w:pPr>
            <w:r w:rsidRPr="008E54D1">
              <w:rPr>
                <w:rFonts w:cs="Calibri"/>
                <w:b/>
                <w:bCs/>
                <w:color w:val="000000"/>
                <w:spacing w:val="0"/>
                <w:kern w:val="0"/>
              </w:rPr>
              <w:t>Benchmark</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Operating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(4.0%)</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Cash Expense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3.0 months</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Unrestricted Current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1.5</w:t>
            </w:r>
            <w:r w:rsidR="00AD54A7">
              <w:rPr>
                <w:kern w:val="0"/>
              </w:rPr>
              <w:t>0</w:t>
            </w:r>
            <w:r w:rsidRPr="008E54D1">
              <w:rPr>
                <w:kern w:val="0"/>
              </w:rPr>
              <w:t>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Own Source Operating Revenue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60.0%</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Debt Service Cover Ratio (DSCR)</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2.0</w:t>
            </w:r>
            <w:r w:rsidR="00AD54A7">
              <w:rPr>
                <w:kern w:val="0"/>
              </w:rPr>
              <w:t>0</w:t>
            </w:r>
            <w:r w:rsidRPr="008E54D1">
              <w:rPr>
                <w:kern w:val="0"/>
              </w:rPr>
              <w:t>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Interest Cover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4.0</w:t>
            </w:r>
            <w:r w:rsidR="00AD54A7">
              <w:rPr>
                <w:kern w:val="0"/>
              </w:rPr>
              <w:t>0</w:t>
            </w:r>
            <w:r w:rsidRPr="008E54D1">
              <w:rPr>
                <w:kern w:val="0"/>
              </w:rPr>
              <w:t>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AD54A7" w:rsidP="00661024">
            <w:pPr>
              <w:pStyle w:val="Tabletext"/>
              <w:rPr>
                <w:rStyle w:val="SubtleEmphasis"/>
                <w:rFonts w:cs="Times New Roman"/>
                <w:color w:val="auto"/>
                <w:spacing w:val="-2"/>
                <w:kern w:val="22"/>
                <w:lang w:eastAsia="en-AU"/>
              </w:rPr>
            </w:pPr>
            <w:r>
              <w:rPr>
                <w:rStyle w:val="SubtleEmphasis"/>
                <w:rFonts w:cs="Times New Roman"/>
                <w:color w:val="auto"/>
                <w:spacing w:val="-2"/>
                <w:kern w:val="22"/>
                <w:lang w:eastAsia="en-AU"/>
              </w:rPr>
              <w:t xml:space="preserve">Building and </w:t>
            </w:r>
            <w:r w:rsidR="00210228" w:rsidRPr="00661024">
              <w:rPr>
                <w:rStyle w:val="SubtleEmphasis"/>
                <w:rFonts w:cs="Times New Roman"/>
                <w:color w:val="auto"/>
                <w:spacing w:val="-2"/>
                <w:kern w:val="22"/>
                <w:lang w:eastAsia="en-AU"/>
              </w:rPr>
              <w:t>Infrastructure Backlog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661024">
            <w:pPr>
              <w:pStyle w:val="TableNumbers"/>
              <w:rPr>
                <w:kern w:val="0"/>
              </w:rPr>
            </w:pPr>
            <w:r w:rsidRPr="00FA463D">
              <w:rPr>
                <w:kern w:val="0"/>
              </w:rPr>
              <w:t>&lt; 0.02x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Asset Maintenance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661024">
            <w:pPr>
              <w:pStyle w:val="TableNumbers"/>
              <w:rPr>
                <w:kern w:val="0"/>
              </w:rPr>
            </w:pPr>
            <w:r w:rsidRPr="00FA463D">
              <w:rPr>
                <w:kern w:val="0"/>
              </w:rPr>
              <w:t>&gt; 1.0</w:t>
            </w:r>
            <w:r w:rsidR="00AD54A7">
              <w:rPr>
                <w:kern w:val="0"/>
              </w:rPr>
              <w:t>0</w:t>
            </w:r>
            <w:r w:rsidRPr="00FA463D">
              <w:rPr>
                <w:kern w:val="0"/>
              </w:rPr>
              <w:t>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477C7A"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Building and Infrastructure Asset Renewal R</w:t>
            </w:r>
            <w:r w:rsidR="00210228" w:rsidRPr="00661024">
              <w:rPr>
                <w:rStyle w:val="SubtleEmphasis"/>
                <w:rFonts w:cs="Times New Roman"/>
                <w:color w:val="auto"/>
                <w:spacing w:val="-2"/>
                <w:kern w:val="22"/>
                <w:lang w:eastAsia="en-AU"/>
              </w:rPr>
              <w:t>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FA463D" w:rsidRDefault="00210228" w:rsidP="00661024">
            <w:pPr>
              <w:pStyle w:val="TableNumbers"/>
              <w:rPr>
                <w:kern w:val="0"/>
              </w:rPr>
            </w:pPr>
            <w:r w:rsidRPr="00FA463D">
              <w:rPr>
                <w:kern w:val="0"/>
              </w:rPr>
              <w:t>&gt; 1.0</w:t>
            </w:r>
            <w:r w:rsidR="00AD54A7">
              <w:rPr>
                <w:kern w:val="0"/>
              </w:rPr>
              <w:t>0</w:t>
            </w:r>
            <w:r w:rsidRPr="00FA463D">
              <w:rPr>
                <w:kern w:val="0"/>
              </w:rPr>
              <w:t>x</w:t>
            </w:r>
          </w:p>
        </w:tc>
      </w:tr>
      <w:tr w:rsidR="00210228" w:rsidRPr="008E54D1" w:rsidTr="00661024">
        <w:trPr>
          <w:trHeight w:val="330"/>
          <w:jc w:val="center"/>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210228" w:rsidRPr="00661024" w:rsidRDefault="00210228" w:rsidP="00661024">
            <w:pPr>
              <w:pStyle w:val="Tabletext"/>
              <w:rPr>
                <w:rStyle w:val="SubtleEmphasis"/>
                <w:rFonts w:cs="Times New Roman"/>
                <w:color w:val="auto"/>
                <w:spacing w:val="-2"/>
                <w:kern w:val="22"/>
                <w:lang w:eastAsia="en-AU"/>
              </w:rPr>
            </w:pPr>
            <w:r w:rsidRPr="00661024">
              <w:rPr>
                <w:rStyle w:val="SubtleEmphasis"/>
                <w:rFonts w:cs="Times New Roman"/>
                <w:color w:val="auto"/>
                <w:spacing w:val="-2"/>
                <w:kern w:val="22"/>
                <w:lang w:eastAsia="en-AU"/>
              </w:rPr>
              <w:t>Capital Expenditure Ratio</w:t>
            </w:r>
          </w:p>
        </w:tc>
        <w:tc>
          <w:tcPr>
            <w:tcW w:w="1439" w:type="dxa"/>
            <w:tcBorders>
              <w:top w:val="nil"/>
              <w:left w:val="nil"/>
              <w:bottom w:val="single" w:sz="4" w:space="0" w:color="auto"/>
              <w:right w:val="single" w:sz="4" w:space="0" w:color="auto"/>
            </w:tcBorders>
            <w:shd w:val="clear" w:color="auto" w:fill="auto"/>
            <w:noWrap/>
            <w:vAlign w:val="bottom"/>
            <w:hideMark/>
          </w:tcPr>
          <w:p w:rsidR="00210228" w:rsidRPr="008E54D1" w:rsidRDefault="00210228" w:rsidP="00661024">
            <w:pPr>
              <w:pStyle w:val="TableNumbers"/>
              <w:rPr>
                <w:kern w:val="0"/>
              </w:rPr>
            </w:pPr>
            <w:r>
              <w:rPr>
                <w:kern w:val="0"/>
              </w:rPr>
              <w:t xml:space="preserve">&gt; </w:t>
            </w:r>
            <w:r w:rsidRPr="008E54D1">
              <w:rPr>
                <w:kern w:val="0"/>
              </w:rPr>
              <w:t>1.1</w:t>
            </w:r>
            <w:r w:rsidR="00AD54A7">
              <w:rPr>
                <w:kern w:val="0"/>
              </w:rPr>
              <w:t>0</w:t>
            </w:r>
            <w:r w:rsidRPr="008E54D1">
              <w:rPr>
                <w:kern w:val="0"/>
              </w:rPr>
              <w:t>x</w:t>
            </w:r>
          </w:p>
        </w:tc>
      </w:tr>
    </w:tbl>
    <w:p w:rsidR="00052A63" w:rsidRDefault="00052A63" w:rsidP="000A7B79">
      <w:pPr>
        <w:spacing w:before="0" w:after="200" w:line="276" w:lineRule="auto"/>
        <w:jc w:val="left"/>
        <w:rPr>
          <w:b/>
        </w:rPr>
      </w:pPr>
    </w:p>
    <w:p w:rsidR="000A7B79" w:rsidRPr="005672E3" w:rsidRDefault="00893E42" w:rsidP="00893E42">
      <w:pPr>
        <w:pStyle w:val="Heading2"/>
        <w:spacing w:before="220" w:after="220" w:line="280" w:lineRule="exact"/>
      </w:pPr>
      <w:r>
        <w:br w:type="page"/>
      </w:r>
      <w:bookmarkStart w:id="21" w:name="_Toc330915484"/>
      <w:bookmarkStart w:id="22" w:name="_Toc334702508"/>
      <w:r w:rsidR="000A7B79" w:rsidRPr="005672E3">
        <w:lastRenderedPageBreak/>
        <w:t>2.</w:t>
      </w:r>
      <w:r w:rsidR="00505C59" w:rsidRPr="005672E3">
        <w:t>3</w:t>
      </w:r>
      <w:r w:rsidR="000A7B79" w:rsidRPr="005672E3">
        <w:t>:</w:t>
      </w:r>
      <w:r w:rsidR="000A7B79" w:rsidRPr="005672E3">
        <w:tab/>
        <w:t>Overview of the Local Government Area</w:t>
      </w:r>
      <w:bookmarkEnd w:id="21"/>
      <w:bookmarkEnd w:id="22"/>
    </w:p>
    <w:tbl>
      <w:tblPr>
        <w:tblW w:w="4160" w:type="dxa"/>
        <w:jc w:val="center"/>
        <w:tblInd w:w="103" w:type="dxa"/>
        <w:tblLook w:val="04A0" w:firstRow="1" w:lastRow="0" w:firstColumn="1" w:lastColumn="0" w:noHBand="0" w:noVBand="1"/>
      </w:tblPr>
      <w:tblGrid>
        <w:gridCol w:w="3007"/>
        <w:gridCol w:w="1153"/>
      </w:tblGrid>
      <w:tr w:rsidR="00B27993" w:rsidRPr="00B27993" w:rsidTr="00B27993">
        <w:trPr>
          <w:trHeight w:val="330"/>
          <w:jc w:val="center"/>
        </w:trPr>
        <w:tc>
          <w:tcPr>
            <w:tcW w:w="4160" w:type="dxa"/>
            <w:gridSpan w:val="2"/>
            <w:tcBorders>
              <w:top w:val="single" w:sz="4" w:space="0" w:color="auto"/>
              <w:left w:val="single" w:sz="4" w:space="0" w:color="auto"/>
              <w:bottom w:val="single" w:sz="4" w:space="0" w:color="auto"/>
              <w:right w:val="single" w:sz="4" w:space="0" w:color="000000"/>
            </w:tcBorders>
            <w:shd w:val="clear" w:color="000000" w:fill="BACFF8"/>
            <w:noWrap/>
            <w:vAlign w:val="bottom"/>
            <w:hideMark/>
          </w:tcPr>
          <w:p w:rsidR="00B27993" w:rsidRPr="00B27993" w:rsidRDefault="00B27993" w:rsidP="00B27993">
            <w:pPr>
              <w:spacing w:before="0" w:after="0" w:line="240" w:lineRule="auto"/>
              <w:jc w:val="center"/>
              <w:rPr>
                <w:rFonts w:cs="Calibri"/>
                <w:b/>
                <w:bCs/>
                <w:color w:val="000000"/>
                <w:spacing w:val="0"/>
                <w:kern w:val="0"/>
              </w:rPr>
            </w:pPr>
            <w:r w:rsidRPr="00B27993">
              <w:rPr>
                <w:rFonts w:cs="Calibri"/>
                <w:b/>
                <w:bCs/>
                <w:color w:val="000000"/>
                <w:spacing w:val="0"/>
                <w:kern w:val="0"/>
              </w:rPr>
              <w:t>Gwydir Shire Council</w:t>
            </w:r>
          </w:p>
        </w:tc>
      </w:tr>
      <w:tr w:rsidR="00B27993" w:rsidRPr="00B27993" w:rsidTr="00B27993">
        <w:trPr>
          <w:trHeight w:val="330"/>
          <w:jc w:val="center"/>
        </w:trPr>
        <w:tc>
          <w:tcPr>
            <w:tcW w:w="3007" w:type="dxa"/>
            <w:tcBorders>
              <w:top w:val="nil"/>
              <w:left w:val="single" w:sz="4" w:space="0" w:color="auto"/>
              <w:bottom w:val="single" w:sz="4" w:space="0" w:color="auto"/>
              <w:right w:val="nil"/>
            </w:tcBorders>
            <w:shd w:val="clear" w:color="000000" w:fill="EBF2FA"/>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Locality and Size</w:t>
            </w:r>
          </w:p>
        </w:tc>
        <w:tc>
          <w:tcPr>
            <w:tcW w:w="1153" w:type="dxa"/>
            <w:tcBorders>
              <w:top w:val="nil"/>
              <w:left w:val="nil"/>
              <w:bottom w:val="single" w:sz="4" w:space="0" w:color="auto"/>
              <w:right w:val="single" w:sz="4" w:space="0" w:color="auto"/>
            </w:tcBorders>
            <w:shd w:val="clear" w:color="000000" w:fill="EBF2FA"/>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Locality</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Northern</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Area</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Pr>
                <w:rFonts w:cs="Calibri"/>
                <w:color w:val="000000"/>
                <w:spacing w:val="0"/>
                <w:kern w:val="0"/>
              </w:rPr>
              <w:t xml:space="preserve">9,274 </w:t>
            </w:r>
            <w:r w:rsidRPr="00B27993">
              <w:rPr>
                <w:rFonts w:cs="Calibri"/>
                <w:color w:val="000000"/>
                <w:spacing w:val="0"/>
                <w:kern w:val="0"/>
              </w:rPr>
              <w:t>km</w:t>
            </w:r>
            <w:r w:rsidRPr="00B27993">
              <w:rPr>
                <w:rFonts w:ascii="Calibri" w:hAnsi="Calibri" w:cs="Calibri"/>
                <w:color w:val="000000"/>
                <w:spacing w:val="0"/>
                <w:kern w:val="0"/>
              </w:rPr>
              <w:t>²</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DLG Group No.</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10</w:t>
            </w:r>
          </w:p>
        </w:tc>
      </w:tr>
      <w:tr w:rsidR="00B27993" w:rsidRPr="00B27993" w:rsidTr="00B27993">
        <w:trPr>
          <w:trHeight w:val="330"/>
          <w:jc w:val="center"/>
        </w:trPr>
        <w:tc>
          <w:tcPr>
            <w:tcW w:w="3007" w:type="dxa"/>
            <w:tcBorders>
              <w:top w:val="nil"/>
              <w:left w:val="single" w:sz="4" w:space="0" w:color="auto"/>
              <w:bottom w:val="single" w:sz="4" w:space="0" w:color="auto"/>
              <w:right w:val="nil"/>
            </w:tcBorders>
            <w:shd w:val="clear" w:color="000000" w:fill="EBF2FA"/>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Demographics</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Population</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4,965</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under 20</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25%</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between 20 and 59</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45%</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over 60</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30%</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Expected population in 2021</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4,900</w:t>
            </w:r>
          </w:p>
        </w:tc>
      </w:tr>
      <w:tr w:rsidR="00B27993" w:rsidRPr="00B27993" w:rsidTr="00B27993">
        <w:trPr>
          <w:trHeight w:val="330"/>
          <w:jc w:val="center"/>
        </w:trPr>
        <w:tc>
          <w:tcPr>
            <w:tcW w:w="3007" w:type="dxa"/>
            <w:tcBorders>
              <w:top w:val="nil"/>
              <w:left w:val="single" w:sz="4" w:space="0" w:color="auto"/>
              <w:bottom w:val="single" w:sz="4" w:space="0" w:color="auto"/>
              <w:right w:val="nil"/>
            </w:tcBorders>
            <w:shd w:val="clear" w:color="000000" w:fill="EBF2FA"/>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Operations</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Number of employees (FTE)</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169</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Annual revenue</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$24.4m</w:t>
            </w:r>
          </w:p>
        </w:tc>
      </w:tr>
      <w:tr w:rsidR="00B27993" w:rsidRPr="00B27993" w:rsidTr="00B27993">
        <w:trPr>
          <w:trHeight w:val="330"/>
          <w:jc w:val="center"/>
        </w:trPr>
        <w:tc>
          <w:tcPr>
            <w:tcW w:w="3007" w:type="dxa"/>
            <w:tcBorders>
              <w:top w:val="nil"/>
              <w:left w:val="single" w:sz="4" w:space="0" w:color="auto"/>
              <w:bottom w:val="single" w:sz="4" w:space="0" w:color="auto"/>
              <w:right w:val="nil"/>
            </w:tcBorders>
            <w:shd w:val="clear" w:color="000000" w:fill="EBF2FA"/>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Infrastructure</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 </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Roads</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5A1368" w:rsidP="00B27993">
            <w:pPr>
              <w:spacing w:before="0" w:after="0" w:line="240" w:lineRule="auto"/>
              <w:jc w:val="center"/>
              <w:rPr>
                <w:rFonts w:cs="Calibri"/>
                <w:color w:val="000000"/>
                <w:spacing w:val="0"/>
                <w:kern w:val="0"/>
              </w:rPr>
            </w:pPr>
            <w:r>
              <w:rPr>
                <w:rFonts w:cs="Calibri"/>
                <w:color w:val="000000"/>
                <w:spacing w:val="0"/>
                <w:kern w:val="0"/>
              </w:rPr>
              <w:t xml:space="preserve">2,094 km </w:t>
            </w:r>
            <w:r w:rsidR="00B27993" w:rsidRPr="00B27993">
              <w:rPr>
                <w:rFonts w:cs="Calibri"/>
                <w:color w:val="000000"/>
                <w:spacing w:val="0"/>
                <w:kern w:val="0"/>
              </w:rPr>
              <w:t> </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Bridges</w:t>
            </w:r>
          </w:p>
        </w:tc>
        <w:tc>
          <w:tcPr>
            <w:tcW w:w="1153" w:type="dxa"/>
            <w:tcBorders>
              <w:top w:val="nil"/>
              <w:left w:val="nil"/>
              <w:bottom w:val="single" w:sz="4" w:space="0" w:color="auto"/>
              <w:right w:val="single" w:sz="4" w:space="0" w:color="auto"/>
            </w:tcBorders>
            <w:shd w:val="clear" w:color="000000" w:fill="FFFFFF"/>
            <w:noWrap/>
            <w:vAlign w:val="bottom"/>
            <w:hideMark/>
          </w:tcPr>
          <w:p w:rsidR="00B27993" w:rsidRPr="00B27993" w:rsidRDefault="005A1368" w:rsidP="005A1368">
            <w:pPr>
              <w:spacing w:before="0" w:after="0" w:line="240" w:lineRule="auto"/>
              <w:jc w:val="center"/>
              <w:rPr>
                <w:rFonts w:cs="Calibri"/>
                <w:color w:val="000000"/>
                <w:spacing w:val="0"/>
                <w:kern w:val="0"/>
              </w:rPr>
            </w:pPr>
            <w:r>
              <w:rPr>
                <w:rFonts w:cs="Calibri"/>
                <w:color w:val="000000"/>
                <w:spacing w:val="0"/>
                <w:kern w:val="0"/>
              </w:rPr>
              <w:t>53</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Infrastructure backlog value</w:t>
            </w:r>
          </w:p>
        </w:tc>
        <w:tc>
          <w:tcPr>
            <w:tcW w:w="1153" w:type="dxa"/>
            <w:tcBorders>
              <w:top w:val="nil"/>
              <w:left w:val="nil"/>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$53.6m</w:t>
            </w:r>
          </w:p>
        </w:tc>
      </w:tr>
      <w:tr w:rsidR="00B27993" w:rsidRPr="00B27993" w:rsidTr="00B27993">
        <w:trPr>
          <w:trHeight w:val="330"/>
          <w:jc w:val="center"/>
        </w:trPr>
        <w:tc>
          <w:tcPr>
            <w:tcW w:w="3007" w:type="dxa"/>
            <w:tcBorders>
              <w:top w:val="nil"/>
              <w:left w:val="single" w:sz="4" w:space="0" w:color="auto"/>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left"/>
              <w:rPr>
                <w:rFonts w:cs="Calibri"/>
                <w:color w:val="000000"/>
                <w:spacing w:val="0"/>
                <w:kern w:val="0"/>
              </w:rPr>
            </w:pPr>
            <w:r w:rsidRPr="00B27993">
              <w:rPr>
                <w:rFonts w:cs="Calibri"/>
                <w:color w:val="000000"/>
                <w:spacing w:val="0"/>
                <w:kern w:val="0"/>
              </w:rPr>
              <w:t>Total infrastructure value</w:t>
            </w:r>
          </w:p>
        </w:tc>
        <w:tc>
          <w:tcPr>
            <w:tcW w:w="1153" w:type="dxa"/>
            <w:tcBorders>
              <w:top w:val="nil"/>
              <w:left w:val="nil"/>
              <w:bottom w:val="single" w:sz="4" w:space="0" w:color="auto"/>
              <w:right w:val="single" w:sz="4" w:space="0" w:color="auto"/>
            </w:tcBorders>
            <w:shd w:val="clear" w:color="auto" w:fill="auto"/>
            <w:noWrap/>
            <w:vAlign w:val="bottom"/>
            <w:hideMark/>
          </w:tcPr>
          <w:p w:rsidR="00B27993" w:rsidRPr="00B27993" w:rsidRDefault="00B27993" w:rsidP="00B27993">
            <w:pPr>
              <w:spacing w:before="0" w:after="0" w:line="240" w:lineRule="auto"/>
              <w:jc w:val="center"/>
              <w:rPr>
                <w:rFonts w:cs="Calibri"/>
                <w:color w:val="000000"/>
                <w:spacing w:val="0"/>
                <w:kern w:val="0"/>
              </w:rPr>
            </w:pPr>
            <w:r w:rsidRPr="00B27993">
              <w:rPr>
                <w:rFonts w:cs="Calibri"/>
                <w:color w:val="000000"/>
                <w:spacing w:val="0"/>
                <w:kern w:val="0"/>
              </w:rPr>
              <w:t>$162.6m</w:t>
            </w:r>
          </w:p>
        </w:tc>
      </w:tr>
    </w:tbl>
    <w:p w:rsidR="00D806E6" w:rsidRDefault="00B27993" w:rsidP="00DF69CD">
      <w:pPr>
        <w:rPr>
          <w:kern w:val="0"/>
        </w:rPr>
      </w:pPr>
      <w:r>
        <w:t>Gwydir Shire</w:t>
      </w:r>
      <w:r w:rsidR="00D806E6" w:rsidRPr="009237DF">
        <w:t xml:space="preserve"> Council Local Gove</w:t>
      </w:r>
      <w:r>
        <w:t xml:space="preserve">rnment Area (LGA) is </w:t>
      </w:r>
      <w:r w:rsidRPr="00DF69CD">
        <w:t xml:space="preserve">located </w:t>
      </w:r>
      <w:r w:rsidR="00DF69CD">
        <w:t xml:space="preserve">in </w:t>
      </w:r>
      <w:r w:rsidR="00DF69CD" w:rsidRPr="00DF69CD">
        <w:rPr>
          <w:kern w:val="0"/>
        </w:rPr>
        <w:t>north</w:t>
      </w:r>
      <w:r w:rsidR="00BA60A0">
        <w:rPr>
          <w:kern w:val="0"/>
        </w:rPr>
        <w:t>ern</w:t>
      </w:r>
      <w:r w:rsidR="00DF69CD" w:rsidRPr="00DF69CD">
        <w:rPr>
          <w:kern w:val="0"/>
        </w:rPr>
        <w:t xml:space="preserve"> NSW, approximately 8 hours drive north of Sydney and 6 hours south-west of Brisbane.</w:t>
      </w:r>
      <w:r w:rsidR="00FF549D">
        <w:rPr>
          <w:kern w:val="0"/>
        </w:rPr>
        <w:t xml:space="preserve">  The LGA was created in March 2004 following the amalgamation of Yallaroi and Bingara Councils and </w:t>
      </w:r>
      <w:r w:rsidR="000715F1">
        <w:rPr>
          <w:kern w:val="0"/>
        </w:rPr>
        <w:t>part of</w:t>
      </w:r>
      <w:r w:rsidR="00FF549D">
        <w:rPr>
          <w:kern w:val="0"/>
        </w:rPr>
        <w:t xml:space="preserve"> the former Barraba Council.</w:t>
      </w:r>
    </w:p>
    <w:p w:rsidR="00DF69CD" w:rsidRDefault="00DF69CD" w:rsidP="00DF69CD">
      <w:pPr>
        <w:rPr>
          <w:kern w:val="0"/>
        </w:rPr>
      </w:pPr>
      <w:r>
        <w:rPr>
          <w:kern w:val="0"/>
        </w:rPr>
        <w:t>The northern part of the LGA is just south of the Queensland border with Inverell to the east, Moree to the west and Tamworth to the south.</w:t>
      </w:r>
    </w:p>
    <w:p w:rsidR="00DF69CD" w:rsidRDefault="00DF69CD" w:rsidP="00DF69CD">
      <w:pPr>
        <w:rPr>
          <w:kern w:val="0"/>
        </w:rPr>
      </w:pPr>
      <w:r>
        <w:rPr>
          <w:kern w:val="0"/>
        </w:rPr>
        <w:t xml:space="preserve">Agriculture remains the dominant industry within the LGA however the industry is subject to </w:t>
      </w:r>
      <w:r w:rsidR="001476B8">
        <w:rPr>
          <w:kern w:val="0"/>
        </w:rPr>
        <w:t>significant change due to the ageing of the farming population, market changes and the possible effects of climate change.</w:t>
      </w:r>
      <w:r w:rsidR="0080509C">
        <w:rPr>
          <w:kern w:val="0"/>
        </w:rPr>
        <w:t xml:space="preserve">  The LGA has been declared a natural disaster area twice in the last 13 months due to flooding.</w:t>
      </w:r>
    </w:p>
    <w:p w:rsidR="001476B8" w:rsidRDefault="001476B8" w:rsidP="00DF69CD">
      <w:pPr>
        <w:rPr>
          <w:kern w:val="0"/>
        </w:rPr>
      </w:pPr>
      <w:r>
        <w:rPr>
          <w:kern w:val="0"/>
        </w:rPr>
        <w:t>The LGA also has the broader issues occurring in rural areas such as a declining population as younger generations head to urban centres for employment opportunities.</w:t>
      </w:r>
    </w:p>
    <w:p w:rsidR="00DF69CD" w:rsidRDefault="00DF69CD" w:rsidP="00DF69CD">
      <w:pPr>
        <w:rPr>
          <w:kern w:val="0"/>
        </w:rPr>
      </w:pPr>
      <w:r>
        <w:rPr>
          <w:kern w:val="0"/>
        </w:rPr>
        <w:t>Within Council’s Infrastructure, Property, Plant and Equipment (IPP&amp;E) as at 30 June 2012 there was:</w:t>
      </w:r>
    </w:p>
    <w:p w:rsidR="00DF69CD" w:rsidRDefault="00DF69CD" w:rsidP="00DF69CD">
      <w:pPr>
        <w:pStyle w:val="ListParagraph"/>
        <w:numPr>
          <w:ilvl w:val="0"/>
          <w:numId w:val="3"/>
        </w:numPr>
        <w:rPr>
          <w:kern w:val="0"/>
        </w:rPr>
      </w:pPr>
      <w:r>
        <w:rPr>
          <w:kern w:val="0"/>
        </w:rPr>
        <w:t>$123.9m of roads, bridges and footpaths</w:t>
      </w:r>
    </w:p>
    <w:p w:rsidR="00DF69CD" w:rsidRPr="0080509C" w:rsidRDefault="00DF69CD" w:rsidP="0080509C">
      <w:pPr>
        <w:pStyle w:val="ListParagraph"/>
        <w:numPr>
          <w:ilvl w:val="0"/>
          <w:numId w:val="3"/>
        </w:numPr>
        <w:rPr>
          <w:kern w:val="0"/>
        </w:rPr>
      </w:pPr>
      <w:r>
        <w:rPr>
          <w:kern w:val="0"/>
        </w:rPr>
        <w:t>$13.4m of non specialised buildings</w:t>
      </w:r>
      <w:r w:rsidR="0080509C">
        <w:rPr>
          <w:kern w:val="0"/>
        </w:rPr>
        <w:t>, $8.6m of specialised buildings</w:t>
      </w:r>
    </w:p>
    <w:p w:rsidR="000715F1" w:rsidRDefault="00DF69CD" w:rsidP="000715F1">
      <w:pPr>
        <w:pStyle w:val="ListParagraph"/>
        <w:numPr>
          <w:ilvl w:val="0"/>
          <w:numId w:val="3"/>
        </w:numPr>
        <w:rPr>
          <w:kern w:val="0"/>
        </w:rPr>
      </w:pPr>
      <w:r>
        <w:rPr>
          <w:kern w:val="0"/>
        </w:rPr>
        <w:t>$9.9m of water supply infrastructure</w:t>
      </w:r>
      <w:r w:rsidR="000715F1">
        <w:rPr>
          <w:kern w:val="0"/>
        </w:rPr>
        <w:t>, $4.5m of sewerage infrastructure</w:t>
      </w:r>
    </w:p>
    <w:p w:rsidR="000715F1" w:rsidRPr="001476B8" w:rsidRDefault="00DF69CD" w:rsidP="000715F1">
      <w:pPr>
        <w:pStyle w:val="ListParagraph"/>
        <w:numPr>
          <w:ilvl w:val="0"/>
          <w:numId w:val="3"/>
        </w:numPr>
        <w:rPr>
          <w:kern w:val="0"/>
        </w:rPr>
      </w:pPr>
      <w:r>
        <w:rPr>
          <w:kern w:val="0"/>
        </w:rPr>
        <w:t>$2.4m of other structures</w:t>
      </w:r>
      <w:r w:rsidR="000715F1">
        <w:rPr>
          <w:kern w:val="0"/>
        </w:rPr>
        <w:t xml:space="preserve">, </w:t>
      </w:r>
      <w:r w:rsidR="000715F1" w:rsidRPr="001476B8">
        <w:rPr>
          <w:kern w:val="0"/>
        </w:rPr>
        <w:t>$1.4m of stormwater drainage</w:t>
      </w:r>
    </w:p>
    <w:p w:rsidR="000A7B79" w:rsidRPr="00374A23" w:rsidRDefault="000A7B79" w:rsidP="00374A23">
      <w:pPr>
        <w:pStyle w:val="Heading1"/>
      </w:pPr>
      <w:r>
        <w:br w:type="page"/>
      </w:r>
      <w:bookmarkStart w:id="23" w:name="_Toc330915485"/>
      <w:bookmarkStart w:id="24" w:name="_Toc334702509"/>
      <w:r w:rsidRPr="00374A23">
        <w:lastRenderedPageBreak/>
        <w:t>Section 3</w:t>
      </w:r>
      <w:r w:rsidRPr="00374A23">
        <w:tab/>
        <w:t>Review of Financial Performance and Position</w:t>
      </w:r>
      <w:bookmarkEnd w:id="23"/>
      <w:bookmarkEnd w:id="24"/>
    </w:p>
    <w:p w:rsidR="00D806E6" w:rsidRPr="00893E42" w:rsidRDefault="00D806E6" w:rsidP="00946D06">
      <w:r w:rsidRPr="00893E42">
        <w:t>In reviewing the financial performance of the Council, TCorp has based its review on the annual audited accounts of the Council unless otherwise stated.</w:t>
      </w:r>
    </w:p>
    <w:p w:rsidR="00D806E6" w:rsidRPr="00374A23" w:rsidRDefault="00D806E6" w:rsidP="00893E42">
      <w:pPr>
        <w:pStyle w:val="Heading2"/>
        <w:spacing w:before="220" w:after="220" w:line="280" w:lineRule="exact"/>
      </w:pPr>
      <w:bookmarkStart w:id="25" w:name="_Toc330915486"/>
      <w:bookmarkStart w:id="26" w:name="_Toc334702510"/>
      <w:r w:rsidRPr="00374A23">
        <w:t>3.1:</w:t>
      </w:r>
      <w:r w:rsidRPr="00374A23">
        <w:tab/>
        <w:t>Revenue</w:t>
      </w:r>
      <w:bookmarkEnd w:id="25"/>
      <w:bookmarkEnd w:id="26"/>
    </w:p>
    <w:p w:rsidR="00361075" w:rsidRDefault="00361075" w:rsidP="00DE2E88">
      <w:pPr>
        <w:pStyle w:val="Title"/>
      </w:pPr>
      <w:bookmarkStart w:id="27" w:name="_Toc326916134"/>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361075" w:rsidP="00DE2E88">
      <w:pPr>
        <w:pStyle w:val="Title"/>
      </w:pPr>
    </w:p>
    <w:p w:rsidR="00361075" w:rsidRDefault="000633B2" w:rsidP="00DE2E88">
      <w:pPr>
        <w:pStyle w:val="Title"/>
      </w:pPr>
      <w:r w:rsidRPr="000633B2">
        <w:rPr>
          <w:noProof/>
        </w:rPr>
        <w:drawing>
          <wp:anchor distT="0" distB="0" distL="114300" distR="114300" simplePos="0" relativeHeight="251660288" behindDoc="0" locked="0" layoutInCell="1" allowOverlap="1" wp14:anchorId="5E51569C" wp14:editId="71747C1B">
            <wp:simplePos x="0" y="0"/>
            <wp:positionH relativeFrom="column">
              <wp:posOffset>22225</wp:posOffset>
            </wp:positionH>
            <wp:positionV relativeFrom="paragraph">
              <wp:posOffset>-3264535</wp:posOffset>
            </wp:positionV>
            <wp:extent cx="5100955" cy="3438525"/>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00955" cy="3438525"/>
                    </a:xfrm>
                    <a:prstGeom prst="rect">
                      <a:avLst/>
                    </a:prstGeom>
                    <a:noFill/>
                    <a:ln w="9525">
                      <a:noFill/>
                      <a:miter lim="800000"/>
                      <a:headEnd/>
                      <a:tailEnd/>
                    </a:ln>
                  </pic:spPr>
                </pic:pic>
              </a:graphicData>
            </a:graphic>
          </wp:anchor>
        </w:drawing>
      </w:r>
    </w:p>
    <w:p w:rsidR="00D806E6" w:rsidRPr="009237DF" w:rsidRDefault="00D806E6" w:rsidP="00DE2E88">
      <w:pPr>
        <w:pStyle w:val="Title"/>
      </w:pPr>
      <w:r w:rsidRPr="009237DF">
        <w:t>Key Observations</w:t>
      </w:r>
      <w:bookmarkEnd w:id="27"/>
    </w:p>
    <w:p w:rsidR="00494637" w:rsidRDefault="00494637" w:rsidP="00893E42">
      <w:pPr>
        <w:pStyle w:val="Subtitle"/>
        <w:ind w:left="714" w:hanging="357"/>
      </w:pPr>
      <w:r>
        <w:t>Total operating</w:t>
      </w:r>
      <w:r w:rsidR="005D265B">
        <w:t xml:space="preserve"> revenues have increased by $4.6m (23.5</w:t>
      </w:r>
      <w:r>
        <w:t>%)</w:t>
      </w:r>
      <w:r w:rsidR="005D265B">
        <w:t xml:space="preserve"> over the review period to $24.2</w:t>
      </w:r>
      <w:r>
        <w:t>m in 2012.</w:t>
      </w:r>
    </w:p>
    <w:p w:rsidR="009C2990" w:rsidRDefault="00494637" w:rsidP="00893E42">
      <w:pPr>
        <w:pStyle w:val="Subtitle"/>
        <w:ind w:left="714" w:hanging="357"/>
      </w:pPr>
      <w:r>
        <w:t xml:space="preserve">Rates and annual charges have been on an upward trend with the largest annual increase in 2011 of $0.6m driven by </w:t>
      </w:r>
      <w:r w:rsidR="003334DF">
        <w:t>an increase in residential ordinary rates and domestic waste management services annual charges.</w:t>
      </w:r>
    </w:p>
    <w:p w:rsidR="00361075" w:rsidRDefault="009C2990" w:rsidP="00893E42">
      <w:pPr>
        <w:pStyle w:val="Subtitle"/>
        <w:ind w:left="714" w:hanging="357"/>
      </w:pPr>
      <w:r>
        <w:t>User charges and fees have also been on an upward trend however the large increase in 2010 was due to a reclassification of the medical centre ($0.9m) and quarry ($0.5m) revenues from other revenues.</w:t>
      </w:r>
      <w:r w:rsidR="00494637">
        <w:t xml:space="preserve"> </w:t>
      </w:r>
      <w:r>
        <w:t xml:space="preserve"> In 2012 the increase was from higher RMS charges for state managed roads that increased by $0.9m to $4.4m.</w:t>
      </w:r>
    </w:p>
    <w:p w:rsidR="008366AB" w:rsidRDefault="00F142AF" w:rsidP="005D265B">
      <w:pPr>
        <w:pStyle w:val="Subtitle"/>
      </w:pPr>
      <w:r>
        <w:t xml:space="preserve">Operating grants and contributions have generally been on an upward trend but have fluctuated due to the timing differences of the general purpose </w:t>
      </w:r>
      <w:r w:rsidR="009A7284">
        <w:t>F</w:t>
      </w:r>
      <w:r>
        <w:t xml:space="preserve">inancial </w:t>
      </w:r>
      <w:r w:rsidR="009A7284">
        <w:t>A</w:t>
      </w:r>
      <w:r>
        <w:t xml:space="preserve">ssistance </w:t>
      </w:r>
      <w:r w:rsidR="009A7284">
        <w:t>G</w:t>
      </w:r>
      <w:r>
        <w:t>rant</w:t>
      </w:r>
      <w:r w:rsidR="009A7284">
        <w:t>s</w:t>
      </w:r>
      <w:r>
        <w:t xml:space="preserve"> </w:t>
      </w:r>
      <w:r w:rsidR="00854935">
        <w:t xml:space="preserve">(FAG) </w:t>
      </w:r>
      <w:r>
        <w:t>with some years receiving five</w:t>
      </w:r>
      <w:r w:rsidR="009A7284">
        <w:t xml:space="preserve"> or six</w:t>
      </w:r>
      <w:r>
        <w:t xml:space="preserve"> quarterly payments</w:t>
      </w:r>
      <w:r w:rsidR="008366AB">
        <w:t>.</w:t>
      </w:r>
    </w:p>
    <w:p w:rsidR="008366AB" w:rsidRDefault="008366AB" w:rsidP="005D265B">
      <w:pPr>
        <w:pStyle w:val="Subtitle"/>
      </w:pPr>
      <w:r>
        <w:t xml:space="preserve">Other revenues have decreased from the 2009 high due to the reclassification of the medical centre and quarry revenues mentioned above.  </w:t>
      </w:r>
    </w:p>
    <w:p w:rsidR="00E046E2" w:rsidRPr="00E046E2" w:rsidRDefault="00E046E2" w:rsidP="00E046E2">
      <w:pPr>
        <w:pStyle w:val="Subtitle"/>
      </w:pPr>
      <w:r>
        <w:t>Gains from the disposal of assets have been included as Council has included this as recurring revenue within their LTFP forecast.</w:t>
      </w:r>
      <w:r w:rsidR="0051374D">
        <w:t xml:space="preserve">  The gains relate to the disposal of plant and equipment.</w:t>
      </w:r>
    </w:p>
    <w:p w:rsidR="00D806E6" w:rsidRPr="00893E42" w:rsidRDefault="00D806E6" w:rsidP="008366AB">
      <w:pPr>
        <w:pStyle w:val="Subtitle"/>
        <w:numPr>
          <w:ilvl w:val="0"/>
          <w:numId w:val="0"/>
        </w:numPr>
        <w:ind w:left="714"/>
      </w:pPr>
    </w:p>
    <w:p w:rsidR="003D5DCE" w:rsidRDefault="003D5DCE" w:rsidP="00893E42">
      <w:pPr>
        <w:pStyle w:val="Heading2"/>
        <w:spacing w:before="220" w:after="220" w:line="280" w:lineRule="exact"/>
      </w:pPr>
      <w:bookmarkStart w:id="28" w:name="_Toc330915487"/>
      <w:bookmarkStart w:id="29" w:name="_Toc334702511"/>
      <w:r w:rsidRPr="003D5DCE">
        <w:lastRenderedPageBreak/>
        <w:t>3.2:</w:t>
      </w:r>
      <w:r w:rsidRPr="003D5DCE">
        <w:tab/>
        <w:t>Expenses</w:t>
      </w:r>
      <w:bookmarkEnd w:id="28"/>
      <w:bookmarkEnd w:id="29"/>
    </w:p>
    <w:p w:rsidR="008366AB" w:rsidRDefault="008366AB" w:rsidP="00DE2E88">
      <w:pPr>
        <w:pStyle w:val="Title"/>
      </w:pPr>
      <w:bookmarkStart w:id="30" w:name="_Toc326916136"/>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8366AB" w:rsidP="00DE2E88">
      <w:pPr>
        <w:pStyle w:val="Title"/>
      </w:pPr>
    </w:p>
    <w:p w:rsidR="008366AB" w:rsidRDefault="000633B2" w:rsidP="00DE2E88">
      <w:pPr>
        <w:pStyle w:val="Title"/>
      </w:pPr>
      <w:r w:rsidRPr="000633B2">
        <w:rPr>
          <w:noProof/>
        </w:rPr>
        <w:drawing>
          <wp:anchor distT="0" distB="0" distL="114300" distR="114300" simplePos="0" relativeHeight="251661312" behindDoc="0" locked="0" layoutInCell="1" allowOverlap="1" wp14:anchorId="1CCA050E" wp14:editId="0D30BD7C">
            <wp:simplePos x="0" y="0"/>
            <wp:positionH relativeFrom="column">
              <wp:posOffset>22225</wp:posOffset>
            </wp:positionH>
            <wp:positionV relativeFrom="paragraph">
              <wp:posOffset>-3204845</wp:posOffset>
            </wp:positionV>
            <wp:extent cx="5100955" cy="3381375"/>
            <wp:effectExtent l="19050" t="0" r="444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100955" cy="3381375"/>
                    </a:xfrm>
                    <a:prstGeom prst="rect">
                      <a:avLst/>
                    </a:prstGeom>
                    <a:noFill/>
                    <a:ln w="9525">
                      <a:noFill/>
                      <a:miter lim="800000"/>
                      <a:headEnd/>
                      <a:tailEnd/>
                    </a:ln>
                  </pic:spPr>
                </pic:pic>
              </a:graphicData>
            </a:graphic>
          </wp:anchor>
        </w:drawing>
      </w:r>
    </w:p>
    <w:p w:rsidR="003D5DCE" w:rsidRPr="00821C83" w:rsidRDefault="003D5DCE" w:rsidP="00DE2E88">
      <w:pPr>
        <w:pStyle w:val="Title"/>
      </w:pPr>
      <w:r w:rsidRPr="00821C83">
        <w:t>Key Observations</w:t>
      </w:r>
      <w:bookmarkEnd w:id="30"/>
    </w:p>
    <w:p w:rsidR="00A32E65" w:rsidRPr="00401EBB" w:rsidRDefault="00A32E65" w:rsidP="00A32E65">
      <w:pPr>
        <w:pStyle w:val="Subtitle"/>
        <w:ind w:left="714" w:hanging="357"/>
      </w:pPr>
      <w:r>
        <w:t xml:space="preserve">Total operating expenses have increased by $4.4m (16.1%) over the review period to $31.7m in </w:t>
      </w:r>
      <w:r w:rsidRPr="00401EBB">
        <w:t>2012.</w:t>
      </w:r>
    </w:p>
    <w:p w:rsidR="00A32E65" w:rsidRPr="00401EBB" w:rsidRDefault="00A32E65" w:rsidP="00A32E65">
      <w:pPr>
        <w:pStyle w:val="Subtitle"/>
      </w:pPr>
      <w:r w:rsidRPr="00401EBB">
        <w:t>Employee costs remained relatively static over the period until 2012 when they increased by 25.0%.  This large increase was partly related to an increase in equivalent full time employees by 11 to 169 and also a $1.6m increase in employee leave entitlements</w:t>
      </w:r>
      <w:r w:rsidR="0013329D" w:rsidRPr="00401EBB">
        <w:t xml:space="preserve"> due to improved data and methodologies along with </w:t>
      </w:r>
      <w:r w:rsidR="00045191">
        <w:t>a lower discount rate</w:t>
      </w:r>
      <w:r w:rsidR="0013329D" w:rsidRPr="00401EBB">
        <w:t xml:space="preserve"> used in the NPV calculations for this liability</w:t>
      </w:r>
      <w:r w:rsidRPr="00401EBB">
        <w:t>.</w:t>
      </w:r>
      <w:r w:rsidR="005A1368">
        <w:t xml:space="preserve">  The increase in FTE was predominantly due to </w:t>
      </w:r>
      <w:r w:rsidR="00B36D9A">
        <w:t xml:space="preserve">the creation of </w:t>
      </w:r>
      <w:r w:rsidR="005A1368">
        <w:t xml:space="preserve">a number of trainee positions in such areas as plant operation, environment and sustainability, parks and gardens, and labouring. </w:t>
      </w:r>
      <w:r w:rsidRPr="00401EBB">
        <w:t xml:space="preserve"> </w:t>
      </w:r>
    </w:p>
    <w:p w:rsidR="00A32E65" w:rsidRDefault="00E92C3C" w:rsidP="00A32E65">
      <w:pPr>
        <w:pStyle w:val="Subtitle"/>
      </w:pPr>
      <w:r w:rsidRPr="00401EBB">
        <w:t>Materials and contract expenses have fluctuated during the review period but the 2012 amount is similar to the 2009 figure.</w:t>
      </w:r>
      <w:r w:rsidR="00EB2134" w:rsidRPr="00401EBB">
        <w:t xml:space="preserve">  The fluctuations relate to the amount of infrastructure</w:t>
      </w:r>
      <w:r w:rsidR="00EB2134">
        <w:t xml:space="preserve"> works completed </w:t>
      </w:r>
      <w:r w:rsidR="005930F6">
        <w:t xml:space="preserve">and capitalised </w:t>
      </w:r>
      <w:r w:rsidR="00EB2134">
        <w:t>in each year.</w:t>
      </w:r>
    </w:p>
    <w:p w:rsidR="000B6FF2" w:rsidRDefault="00EB2134" w:rsidP="000B6FF2">
      <w:pPr>
        <w:pStyle w:val="Subtitle"/>
      </w:pPr>
      <w:r>
        <w:t xml:space="preserve">Depreciation </w:t>
      </w:r>
      <w:r w:rsidR="00EB600F">
        <w:t xml:space="preserve">expenses </w:t>
      </w:r>
      <w:r>
        <w:t>ha</w:t>
      </w:r>
      <w:r w:rsidR="00EB600F">
        <w:t>ve</w:t>
      </w:r>
      <w:r>
        <w:t xml:space="preserve"> increa</w:t>
      </w:r>
      <w:r w:rsidR="00E046E2">
        <w:t>sed over the period but ha</w:t>
      </w:r>
      <w:r w:rsidR="00EB600F">
        <w:t>ve</w:t>
      </w:r>
      <w:r w:rsidR="00E046E2">
        <w:t xml:space="preserve"> experienced</w:t>
      </w:r>
      <w:r>
        <w:t xml:space="preserve"> fluctuations</w:t>
      </w:r>
      <w:r w:rsidR="00E046E2">
        <w:t xml:space="preserve"> that have been driven by changes in road, bridge and footpath de</w:t>
      </w:r>
      <w:r w:rsidR="00EB600F">
        <w:t>preciation</w:t>
      </w:r>
      <w:r>
        <w:t>.</w:t>
      </w:r>
      <w:r w:rsidR="005A1368">
        <w:t xml:space="preserve">  The fluctuations have occurred as Council has obtained improved data.  The accuracy of the depreciation expenses are expected to continue to improve following the next </w:t>
      </w:r>
      <w:r w:rsidR="001612E7">
        <w:t>R</w:t>
      </w:r>
      <w:r w:rsidR="005A1368">
        <w:t xml:space="preserve">evaluation of these assets. </w:t>
      </w:r>
      <w:r>
        <w:t xml:space="preserve">  </w:t>
      </w:r>
    </w:p>
    <w:p w:rsidR="00EB2134" w:rsidRPr="00EB2134" w:rsidRDefault="00EB2134" w:rsidP="00EB2134">
      <w:pPr>
        <w:pStyle w:val="Subtitle"/>
      </w:pPr>
      <w:r>
        <w:t xml:space="preserve">Other expenses have been on an upward trend </w:t>
      </w:r>
      <w:r w:rsidR="003F491B">
        <w:t>with electricity and heating now the largest expense at $0.6m</w:t>
      </w:r>
      <w:r w:rsidR="003F491B">
        <w:tab/>
        <w:t xml:space="preserve"> in 2012</w:t>
      </w:r>
      <w:r w:rsidR="00EB600F">
        <w:t xml:space="preserve"> while insurance was $0.5m</w:t>
      </w:r>
      <w:r w:rsidR="003F491B">
        <w:t>.</w:t>
      </w:r>
    </w:p>
    <w:p w:rsidR="00D806E6" w:rsidRDefault="00A32E65" w:rsidP="003F491B">
      <w:pPr>
        <w:pStyle w:val="Subtitle"/>
        <w:numPr>
          <w:ilvl w:val="0"/>
          <w:numId w:val="0"/>
        </w:numPr>
        <w:ind w:left="720"/>
      </w:pPr>
      <w:r>
        <w:t xml:space="preserve"> </w:t>
      </w:r>
    </w:p>
    <w:p w:rsidR="003F491B" w:rsidRDefault="003F491B" w:rsidP="003F491B"/>
    <w:p w:rsidR="000715F1" w:rsidRDefault="000715F1" w:rsidP="00893E42">
      <w:pPr>
        <w:pStyle w:val="Heading2"/>
        <w:spacing w:before="220" w:after="220" w:line="280" w:lineRule="exact"/>
      </w:pPr>
      <w:bookmarkStart w:id="31" w:name="_Toc330915488"/>
      <w:bookmarkStart w:id="32" w:name="_Toc334702512"/>
    </w:p>
    <w:p w:rsidR="003D5DCE" w:rsidRPr="00B12DD3" w:rsidRDefault="003D5DCE" w:rsidP="00893E42">
      <w:pPr>
        <w:pStyle w:val="Heading2"/>
        <w:spacing w:before="220" w:after="220" w:line="280" w:lineRule="exact"/>
      </w:pPr>
      <w:r w:rsidRPr="00B12DD3">
        <w:lastRenderedPageBreak/>
        <w:t>3.3:</w:t>
      </w:r>
      <w:r w:rsidRPr="00B12DD3">
        <w:tab/>
        <w:t>Operating Results</w:t>
      </w:r>
      <w:bookmarkEnd w:id="31"/>
      <w:bookmarkEnd w:id="32"/>
      <w:r w:rsidRPr="00B12DD3">
        <w:tab/>
      </w:r>
    </w:p>
    <w:p w:rsidR="003D5DCE" w:rsidRPr="00893E42" w:rsidRDefault="003D5DCE" w:rsidP="0068747D">
      <w:r w:rsidRPr="00893E42">
        <w:t xml:space="preserve">TCorp has made some standard adjustments to focus the analysis on core operating council results.  Grants and contributions for capital purposes, realised and unrealised gains on investments and other assets are excluded, as well as one-off items which Council have no control over (e.g. impairments).  </w:t>
      </w:r>
    </w:p>
    <w:p w:rsidR="003D5DCE" w:rsidRPr="00893E42" w:rsidRDefault="003D5DCE" w:rsidP="0068747D">
      <w:r w:rsidRPr="00893E42">
        <w:t xml:space="preserve">TCorp believes that the exclusion of these items will assist in normalising the measurement of key performance indicators, and the measurement </w:t>
      </w:r>
      <w:r w:rsidR="00CB70F0" w:rsidRPr="00893E42">
        <w:t>of Council’s</w:t>
      </w:r>
      <w:r w:rsidRPr="00893E42">
        <w:t xml:space="preserve"> performance against its peers.</w:t>
      </w:r>
    </w:p>
    <w:p w:rsidR="00D949B7" w:rsidRPr="00893E42" w:rsidRDefault="00D949B7" w:rsidP="0068747D">
      <w:r w:rsidRPr="00893E42">
        <w:t>All items excluded</w:t>
      </w:r>
      <w:r w:rsidR="00CB70F0" w:rsidRPr="00893E42">
        <w:t xml:space="preserve"> from the income statement</w:t>
      </w:r>
      <w:r w:rsidRPr="00893E42">
        <w:t xml:space="preserve"> and further historical financial information is detailed in Appendix A.</w:t>
      </w:r>
    </w:p>
    <w:p w:rsidR="003F491B" w:rsidRDefault="003F491B" w:rsidP="00DE2E88">
      <w:pPr>
        <w:pStyle w:val="Title"/>
      </w:pPr>
      <w:bookmarkStart w:id="33" w:name="_Toc326916138"/>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p>
    <w:p w:rsidR="003F491B" w:rsidRDefault="003F491B" w:rsidP="00DE2E88">
      <w:pPr>
        <w:pStyle w:val="Title"/>
      </w:pPr>
      <w:r w:rsidRPr="003F491B">
        <w:rPr>
          <w:noProof/>
        </w:rPr>
        <w:drawing>
          <wp:anchor distT="0" distB="0" distL="114300" distR="114300" simplePos="0" relativeHeight="251662336" behindDoc="0" locked="0" layoutInCell="1" allowOverlap="1" wp14:anchorId="21E1F7E5" wp14:editId="74EFC85B">
            <wp:simplePos x="0" y="0"/>
            <wp:positionH relativeFrom="column">
              <wp:posOffset>22225</wp:posOffset>
            </wp:positionH>
            <wp:positionV relativeFrom="paragraph">
              <wp:posOffset>-3268345</wp:posOffset>
            </wp:positionV>
            <wp:extent cx="5100955" cy="3438525"/>
            <wp:effectExtent l="19050" t="0" r="444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00955" cy="3438525"/>
                    </a:xfrm>
                    <a:prstGeom prst="rect">
                      <a:avLst/>
                    </a:prstGeom>
                    <a:noFill/>
                    <a:ln w="9525">
                      <a:noFill/>
                      <a:miter lim="800000"/>
                      <a:headEnd/>
                      <a:tailEnd/>
                    </a:ln>
                  </pic:spPr>
                </pic:pic>
              </a:graphicData>
            </a:graphic>
          </wp:anchor>
        </w:drawing>
      </w:r>
    </w:p>
    <w:p w:rsidR="00E30C65" w:rsidRPr="00EE6A1C" w:rsidRDefault="00E30C65" w:rsidP="00DE2E88">
      <w:pPr>
        <w:pStyle w:val="Title"/>
      </w:pPr>
      <w:r>
        <w:t>Key Observations</w:t>
      </w:r>
      <w:bookmarkEnd w:id="33"/>
    </w:p>
    <w:p w:rsidR="003F491B" w:rsidRDefault="003F491B" w:rsidP="00893E42">
      <w:pPr>
        <w:pStyle w:val="Subtitle"/>
        <w:ind w:left="714" w:hanging="357"/>
      </w:pPr>
      <w:r>
        <w:t xml:space="preserve">Council has posted operating deficits including and excluding capital grants and contributions in all four years.  The deficit excluding capital grants and contributions </w:t>
      </w:r>
      <w:r w:rsidR="00045191">
        <w:t>improved in 2010 and 2011 but deteriorated in 2012</w:t>
      </w:r>
      <w:r>
        <w:t xml:space="preserve">.  </w:t>
      </w:r>
    </w:p>
    <w:p w:rsidR="00A646D5" w:rsidRPr="00A646D5" w:rsidRDefault="00A646D5" w:rsidP="00A646D5">
      <w:pPr>
        <w:pStyle w:val="Subtitle"/>
      </w:pPr>
      <w:r>
        <w:t xml:space="preserve">The increase in employee expenses </w:t>
      </w:r>
      <w:r w:rsidR="00DD4792">
        <w:t xml:space="preserve">and depreciation </w:t>
      </w:r>
      <w:r>
        <w:t>w</w:t>
      </w:r>
      <w:r w:rsidR="00DD4792">
        <w:t>ere</w:t>
      </w:r>
      <w:r>
        <w:t xml:space="preserve"> the main driver</w:t>
      </w:r>
      <w:r w:rsidR="00DD4792">
        <w:t>s</w:t>
      </w:r>
      <w:r>
        <w:t xml:space="preserve"> of the increased def</w:t>
      </w:r>
      <w:r w:rsidR="009278CC">
        <w:t>icit in 2012.</w:t>
      </w:r>
    </w:p>
    <w:p w:rsidR="000A7B79" w:rsidRDefault="000A7B79" w:rsidP="00E30C65">
      <w:pPr>
        <w:pStyle w:val="ListParagraph"/>
        <w:rPr>
          <w:b/>
        </w:rPr>
      </w:pPr>
    </w:p>
    <w:p w:rsidR="00E47447" w:rsidRDefault="00E47447" w:rsidP="00E30C65">
      <w:pPr>
        <w:pStyle w:val="ListParagraph"/>
        <w:rPr>
          <w:b/>
        </w:rPr>
      </w:pPr>
    </w:p>
    <w:p w:rsidR="00E47447" w:rsidRDefault="00E47447" w:rsidP="00E30C65">
      <w:pPr>
        <w:pStyle w:val="ListParagraph"/>
        <w:rPr>
          <w:b/>
        </w:rPr>
      </w:pPr>
    </w:p>
    <w:p w:rsidR="00E47447" w:rsidRDefault="00E47447" w:rsidP="00E30C65">
      <w:pPr>
        <w:pStyle w:val="ListParagraph"/>
        <w:rPr>
          <w:b/>
        </w:rPr>
      </w:pPr>
    </w:p>
    <w:p w:rsidR="00FC50E0" w:rsidRDefault="00FC50E0" w:rsidP="00893E42">
      <w:pPr>
        <w:pStyle w:val="Heading2"/>
        <w:spacing w:before="220" w:after="220" w:line="280" w:lineRule="exact"/>
      </w:pPr>
      <w:bookmarkStart w:id="34" w:name="_Toc330915489"/>
      <w:bookmarkStart w:id="35" w:name="_Toc334702513"/>
    </w:p>
    <w:p w:rsidR="00FC50E0" w:rsidRDefault="00FC50E0" w:rsidP="00893E42">
      <w:pPr>
        <w:pStyle w:val="Heading2"/>
        <w:spacing w:before="220" w:after="220" w:line="280" w:lineRule="exact"/>
      </w:pPr>
    </w:p>
    <w:p w:rsidR="003D5DCE" w:rsidRPr="00821C83" w:rsidRDefault="003D5DCE" w:rsidP="00893E42">
      <w:pPr>
        <w:pStyle w:val="Heading2"/>
        <w:spacing w:before="220" w:after="220" w:line="280" w:lineRule="exact"/>
      </w:pPr>
      <w:r w:rsidRPr="00821C83">
        <w:lastRenderedPageBreak/>
        <w:t>3.4:</w:t>
      </w:r>
      <w:r w:rsidRPr="00821C83">
        <w:tab/>
        <w:t>Financial Management Indicators</w:t>
      </w:r>
      <w:bookmarkEnd w:id="34"/>
      <w:bookmarkEnd w:id="35"/>
    </w:p>
    <w:tbl>
      <w:tblPr>
        <w:tblW w:w="7039" w:type="dxa"/>
        <w:jc w:val="center"/>
        <w:tblLayout w:type="fixed"/>
        <w:tblLook w:val="04A0" w:firstRow="1" w:lastRow="0" w:firstColumn="1" w:lastColumn="0" w:noHBand="0" w:noVBand="1"/>
      </w:tblPr>
      <w:tblGrid>
        <w:gridCol w:w="3307"/>
        <w:gridCol w:w="933"/>
        <w:gridCol w:w="933"/>
        <w:gridCol w:w="933"/>
        <w:gridCol w:w="933"/>
      </w:tblGrid>
      <w:tr w:rsidR="00A2559F" w:rsidRPr="00946D06" w:rsidTr="00A2559F">
        <w:trPr>
          <w:trHeight w:val="4"/>
          <w:jc w:val="center"/>
        </w:trPr>
        <w:tc>
          <w:tcPr>
            <w:tcW w:w="3307" w:type="dxa"/>
            <w:tcBorders>
              <w:top w:val="single" w:sz="4" w:space="0" w:color="auto"/>
              <w:left w:val="single" w:sz="4" w:space="0" w:color="auto"/>
              <w:bottom w:val="nil"/>
              <w:right w:val="single" w:sz="4" w:space="0" w:color="000000"/>
            </w:tcBorders>
            <w:shd w:val="clear" w:color="000000" w:fill="BACFF8"/>
            <w:vAlign w:val="bottom"/>
            <w:hideMark/>
          </w:tcPr>
          <w:p w:rsidR="00A2559F" w:rsidRPr="002E1CAF" w:rsidRDefault="00A2559F" w:rsidP="00ED73F4">
            <w:pPr>
              <w:pStyle w:val="Tabletext"/>
              <w:jc w:val="center"/>
              <w:rPr>
                <w:rStyle w:val="SubtleEmphasis"/>
                <w:b/>
                <w:bCs/>
              </w:rPr>
            </w:pPr>
            <w:bookmarkStart w:id="36" w:name="_Toc326916140"/>
            <w:r w:rsidRPr="002E1CAF">
              <w:rPr>
                <w:rStyle w:val="SubtleEmphasis"/>
                <w:b/>
                <w:bCs/>
              </w:rPr>
              <w:t>Performance Indicators</w:t>
            </w:r>
            <w:bookmarkEnd w:id="36"/>
          </w:p>
        </w:tc>
        <w:tc>
          <w:tcPr>
            <w:tcW w:w="3732" w:type="dxa"/>
            <w:gridSpan w:val="4"/>
            <w:tcBorders>
              <w:top w:val="single" w:sz="4" w:space="0" w:color="auto"/>
              <w:left w:val="single" w:sz="4" w:space="0" w:color="000000"/>
              <w:bottom w:val="nil"/>
              <w:right w:val="single" w:sz="4" w:space="0" w:color="000000"/>
            </w:tcBorders>
            <w:shd w:val="clear" w:color="000000" w:fill="BACFF8"/>
          </w:tcPr>
          <w:p w:rsidR="00A2559F" w:rsidRPr="00946D06" w:rsidRDefault="00A2559F" w:rsidP="00490328">
            <w:pPr>
              <w:pStyle w:val="TableHeading"/>
              <w:rPr>
                <w:rStyle w:val="SubtleEmphasis"/>
                <w:rFonts w:cs="Times New Roman"/>
                <w:color w:val="auto"/>
                <w:spacing w:val="-2"/>
                <w:kern w:val="22"/>
                <w:lang w:eastAsia="en-AU"/>
              </w:rPr>
            </w:pPr>
            <w:bookmarkStart w:id="37" w:name="_Toc326916141"/>
            <w:r w:rsidRPr="00946D06">
              <w:rPr>
                <w:rStyle w:val="SubtleEmphasis"/>
                <w:rFonts w:cs="Times New Roman"/>
                <w:color w:val="auto"/>
                <w:spacing w:val="-2"/>
                <w:kern w:val="22"/>
                <w:lang w:eastAsia="en-AU"/>
              </w:rPr>
              <w:t>Year ended 30 June</w:t>
            </w:r>
            <w:bookmarkEnd w:id="37"/>
          </w:p>
        </w:tc>
      </w:tr>
      <w:tr w:rsidR="00A2559F" w:rsidRPr="00946D06" w:rsidTr="00A2559F">
        <w:trPr>
          <w:trHeight w:val="5"/>
          <w:jc w:val="center"/>
        </w:trPr>
        <w:tc>
          <w:tcPr>
            <w:tcW w:w="3307" w:type="dxa"/>
            <w:tcBorders>
              <w:top w:val="single" w:sz="4" w:space="0" w:color="auto"/>
              <w:left w:val="single" w:sz="4" w:space="0" w:color="auto"/>
              <w:bottom w:val="single" w:sz="4" w:space="0" w:color="auto"/>
              <w:right w:val="nil"/>
            </w:tcBorders>
            <w:shd w:val="clear" w:color="000000" w:fill="FFFFFF"/>
            <w:noWrap/>
            <w:vAlign w:val="bottom"/>
            <w:hideMark/>
          </w:tcPr>
          <w:p w:rsidR="00A2559F" w:rsidRPr="00584545" w:rsidRDefault="00A2559F" w:rsidP="002E1CAF">
            <w:pPr>
              <w:autoSpaceDE w:val="0"/>
              <w:autoSpaceDN w:val="0"/>
              <w:adjustRightInd w:val="0"/>
              <w:spacing w:before="40" w:after="40" w:line="240" w:lineRule="auto"/>
              <w:jc w:val="left"/>
              <w:rPr>
                <w:rFonts w:cs="Calibri"/>
                <w:b/>
                <w:bCs/>
                <w:color w:val="000000"/>
                <w:spacing w:val="0"/>
                <w:kern w:val="0"/>
              </w:rPr>
            </w:pPr>
            <w:r w:rsidRPr="00584545">
              <w:rPr>
                <w:rFonts w:cs="Calibri"/>
                <w:b/>
                <w:bCs/>
                <w:color w:val="000000"/>
                <w:spacing w:val="0"/>
                <w:kern w:val="0"/>
              </w:rPr>
              <w:t> </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559F" w:rsidRPr="00946D06" w:rsidRDefault="00A2559F" w:rsidP="00490328">
            <w:pPr>
              <w:pStyle w:val="TableHeading"/>
              <w:rPr>
                <w:rStyle w:val="SubtleEmphasis"/>
                <w:rFonts w:cs="Times New Roman"/>
                <w:color w:val="auto"/>
                <w:spacing w:val="-2"/>
                <w:kern w:val="22"/>
                <w:lang w:eastAsia="en-AU"/>
              </w:rPr>
            </w:pPr>
            <w:bookmarkStart w:id="38" w:name="_Toc326916142"/>
            <w:r w:rsidRPr="00946D06">
              <w:rPr>
                <w:rStyle w:val="SubtleEmphasis"/>
                <w:rFonts w:cs="Times New Roman"/>
                <w:color w:val="auto"/>
                <w:spacing w:val="-2"/>
                <w:kern w:val="22"/>
                <w:lang w:eastAsia="en-AU"/>
              </w:rPr>
              <w:t>201</w:t>
            </w:r>
            <w:bookmarkEnd w:id="38"/>
            <w:r>
              <w:rPr>
                <w:rStyle w:val="SubtleEmphasis"/>
                <w:rFonts w:cs="Times New Roman"/>
                <w:color w:val="auto"/>
                <w:spacing w:val="-2"/>
                <w:kern w:val="22"/>
                <w:lang w:eastAsia="en-AU"/>
              </w:rPr>
              <w:t>2</w:t>
            </w:r>
          </w:p>
        </w:tc>
        <w:tc>
          <w:tcPr>
            <w:tcW w:w="933" w:type="dxa"/>
            <w:tcBorders>
              <w:top w:val="single" w:sz="4" w:space="0" w:color="auto"/>
              <w:left w:val="nil"/>
              <w:bottom w:val="single" w:sz="4" w:space="0" w:color="auto"/>
              <w:right w:val="single" w:sz="4" w:space="0" w:color="auto"/>
            </w:tcBorders>
            <w:shd w:val="clear" w:color="000000" w:fill="FFFFFF"/>
          </w:tcPr>
          <w:p w:rsidR="00A2559F" w:rsidRPr="00946D06" w:rsidRDefault="00A2559F" w:rsidP="00490328">
            <w:pPr>
              <w:pStyle w:val="TableHeading"/>
              <w:rPr>
                <w:rStyle w:val="SubtleEmphasis"/>
                <w:rFonts w:cs="Times New Roman"/>
                <w:color w:val="auto"/>
                <w:spacing w:val="-2"/>
                <w:kern w:val="22"/>
                <w:lang w:eastAsia="en-AU"/>
              </w:rPr>
            </w:pPr>
            <w:r>
              <w:rPr>
                <w:rStyle w:val="SubtleEmphasis"/>
                <w:rFonts w:cs="Times New Roman"/>
                <w:color w:val="auto"/>
                <w:spacing w:val="-2"/>
                <w:kern w:val="22"/>
                <w:lang w:eastAsia="en-AU"/>
              </w:rPr>
              <w:t>2011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559F" w:rsidRPr="00946D06" w:rsidRDefault="00A2559F" w:rsidP="00490328">
            <w:pPr>
              <w:pStyle w:val="TableHeading"/>
              <w:rPr>
                <w:rStyle w:val="SubtleEmphasis"/>
                <w:rFonts w:cs="Times New Roman"/>
                <w:color w:val="auto"/>
                <w:spacing w:val="-2"/>
                <w:kern w:val="22"/>
                <w:lang w:eastAsia="en-AU"/>
              </w:rPr>
            </w:pPr>
            <w:bookmarkStart w:id="39" w:name="_Toc326916143"/>
            <w:r w:rsidRPr="00946D06">
              <w:rPr>
                <w:rStyle w:val="SubtleEmphasis"/>
                <w:rFonts w:cs="Times New Roman"/>
                <w:color w:val="auto"/>
                <w:spacing w:val="-2"/>
                <w:kern w:val="22"/>
                <w:lang w:eastAsia="en-AU"/>
              </w:rPr>
              <w:t>2010</w:t>
            </w:r>
            <w:bookmarkEnd w:id="39"/>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A2559F" w:rsidRPr="00946D06" w:rsidRDefault="00A2559F" w:rsidP="00490328">
            <w:pPr>
              <w:pStyle w:val="TableHeading"/>
              <w:rPr>
                <w:rStyle w:val="SubtleEmphasis"/>
                <w:rFonts w:cs="Times New Roman"/>
                <w:color w:val="auto"/>
                <w:spacing w:val="-2"/>
                <w:kern w:val="22"/>
                <w:lang w:eastAsia="en-AU"/>
              </w:rPr>
            </w:pPr>
            <w:bookmarkStart w:id="40" w:name="_Toc326916144"/>
            <w:r w:rsidRPr="00946D06">
              <w:rPr>
                <w:rStyle w:val="SubtleEmphasis"/>
                <w:rFonts w:cs="Times New Roman"/>
                <w:color w:val="auto"/>
                <w:spacing w:val="-2"/>
                <w:kern w:val="22"/>
                <w:lang w:eastAsia="en-AU"/>
              </w:rPr>
              <w:t>2009</w:t>
            </w:r>
            <w:bookmarkEnd w:id="40"/>
          </w:p>
        </w:tc>
      </w:tr>
      <w:tr w:rsidR="00E47447" w:rsidRPr="00584545" w:rsidTr="00891363">
        <w:trPr>
          <w:trHeight w:val="4"/>
          <w:jc w:val="center"/>
        </w:trPr>
        <w:tc>
          <w:tcPr>
            <w:tcW w:w="3307" w:type="dxa"/>
            <w:tcBorders>
              <w:top w:val="nil"/>
              <w:left w:val="single" w:sz="4" w:space="0" w:color="auto"/>
              <w:bottom w:val="nil"/>
              <w:right w:val="nil"/>
            </w:tcBorders>
            <w:shd w:val="clear" w:color="auto" w:fill="auto"/>
            <w:noWrap/>
            <w:hideMark/>
          </w:tcPr>
          <w:p w:rsidR="00E47447" w:rsidRPr="00374A23" w:rsidRDefault="00E47447" w:rsidP="00661024">
            <w:pPr>
              <w:pStyle w:val="Tabletext"/>
              <w:rPr>
                <w:rStyle w:val="SubtleEmphasis"/>
              </w:rPr>
            </w:pPr>
            <w:r w:rsidRPr="00374A23">
              <w:rPr>
                <w:rStyle w:val="SubtleEmphasis"/>
              </w:rPr>
              <w:t>EBITDA ($’000s)</w:t>
            </w:r>
          </w:p>
        </w:tc>
        <w:tc>
          <w:tcPr>
            <w:tcW w:w="933" w:type="dxa"/>
            <w:tcBorders>
              <w:top w:val="nil"/>
              <w:left w:val="single" w:sz="4" w:space="0" w:color="auto"/>
              <w:bottom w:val="nil"/>
              <w:right w:val="single" w:sz="4" w:space="0" w:color="auto"/>
            </w:tcBorders>
            <w:shd w:val="clear" w:color="auto" w:fill="auto"/>
            <w:noWrap/>
            <w:vAlign w:val="bottom"/>
            <w:hideMark/>
          </w:tcPr>
          <w:p w:rsidR="00E47447" w:rsidRDefault="00E47447" w:rsidP="00E47447">
            <w:pPr>
              <w:pStyle w:val="TableNumbers"/>
            </w:pPr>
            <w:r>
              <w:t>4,603</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5,404</w:t>
            </w:r>
          </w:p>
        </w:tc>
        <w:tc>
          <w:tcPr>
            <w:tcW w:w="933" w:type="dxa"/>
            <w:tcBorders>
              <w:top w:val="nil"/>
              <w:left w:val="single" w:sz="4" w:space="0" w:color="auto"/>
              <w:bottom w:val="nil"/>
              <w:right w:val="single" w:sz="4" w:space="0" w:color="auto"/>
            </w:tcBorders>
            <w:shd w:val="clear" w:color="auto" w:fill="auto"/>
            <w:noWrap/>
            <w:vAlign w:val="bottom"/>
            <w:hideMark/>
          </w:tcPr>
          <w:p w:rsidR="00E47447" w:rsidRDefault="00E47447" w:rsidP="00E47447">
            <w:pPr>
              <w:pStyle w:val="TableNumbers"/>
            </w:pPr>
            <w:r>
              <w:t>5,717</w:t>
            </w:r>
          </w:p>
        </w:tc>
        <w:tc>
          <w:tcPr>
            <w:tcW w:w="933" w:type="dxa"/>
            <w:tcBorders>
              <w:top w:val="nil"/>
              <w:left w:val="nil"/>
              <w:bottom w:val="nil"/>
              <w:right w:val="single" w:sz="4" w:space="0" w:color="auto"/>
            </w:tcBorders>
            <w:shd w:val="clear" w:color="auto" w:fill="auto"/>
            <w:noWrap/>
            <w:vAlign w:val="bottom"/>
            <w:hideMark/>
          </w:tcPr>
          <w:p w:rsidR="00E47447" w:rsidRDefault="00E47447" w:rsidP="00E47447">
            <w:pPr>
              <w:pStyle w:val="TableNumbers"/>
            </w:pPr>
            <w:r>
              <w:t>3,078</w:t>
            </w:r>
          </w:p>
        </w:tc>
      </w:tr>
      <w:tr w:rsidR="00E47447" w:rsidRPr="00584545" w:rsidTr="00891363">
        <w:trPr>
          <w:trHeight w:val="4"/>
          <w:jc w:val="center"/>
        </w:trPr>
        <w:tc>
          <w:tcPr>
            <w:tcW w:w="3307" w:type="dxa"/>
            <w:tcBorders>
              <w:top w:val="single" w:sz="4" w:space="0" w:color="auto"/>
              <w:left w:val="single" w:sz="4" w:space="0" w:color="auto"/>
              <w:bottom w:val="single" w:sz="4" w:space="0" w:color="auto"/>
              <w:right w:val="single" w:sz="4" w:space="0" w:color="auto"/>
            </w:tcBorders>
            <w:shd w:val="clear" w:color="auto" w:fill="auto"/>
            <w:noWrap/>
            <w:hideMark/>
          </w:tcPr>
          <w:p w:rsidR="00E47447" w:rsidRPr="00374A23" w:rsidRDefault="00E47447" w:rsidP="00661024">
            <w:pPr>
              <w:pStyle w:val="Tabletext"/>
              <w:rPr>
                <w:rStyle w:val="SubtleEmphasis"/>
              </w:rPr>
            </w:pPr>
            <w:r w:rsidRPr="00374A23">
              <w:rPr>
                <w:rStyle w:val="SubtleEmphasis"/>
              </w:rPr>
              <w:t>Operating Ratio</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(30.9%)</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(25.9%)</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(28.6%)</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(39.2%)</w:t>
            </w:r>
          </w:p>
        </w:tc>
      </w:tr>
      <w:tr w:rsidR="00E47447" w:rsidRPr="00584545" w:rsidTr="00891363">
        <w:trPr>
          <w:trHeight w:val="4"/>
          <w:jc w:val="center"/>
        </w:trPr>
        <w:tc>
          <w:tcPr>
            <w:tcW w:w="3307" w:type="dxa"/>
            <w:tcBorders>
              <w:top w:val="nil"/>
              <w:left w:val="single" w:sz="4" w:space="0" w:color="auto"/>
              <w:bottom w:val="nil"/>
              <w:right w:val="nil"/>
            </w:tcBorders>
            <w:shd w:val="clear" w:color="auto" w:fill="auto"/>
            <w:noWrap/>
            <w:hideMark/>
          </w:tcPr>
          <w:p w:rsidR="00E47447" w:rsidRPr="00374A23" w:rsidRDefault="00E47447" w:rsidP="00661024">
            <w:pPr>
              <w:pStyle w:val="Tabletext"/>
              <w:rPr>
                <w:rStyle w:val="SubtleEmphasis"/>
              </w:rPr>
            </w:pPr>
            <w:r w:rsidRPr="00374A23">
              <w:rPr>
                <w:rStyle w:val="SubtleEmphasis"/>
              </w:rPr>
              <w:t>Interest Cover Ratio</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5.70x</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8.51x</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10.71x</w:t>
            </w:r>
          </w:p>
        </w:tc>
        <w:tc>
          <w:tcPr>
            <w:tcW w:w="933" w:type="dxa"/>
            <w:tcBorders>
              <w:top w:val="nil"/>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8.39x</w:t>
            </w:r>
          </w:p>
        </w:tc>
      </w:tr>
      <w:tr w:rsidR="00E47447" w:rsidRPr="00584545" w:rsidTr="00891363">
        <w:trPr>
          <w:trHeight w:val="4"/>
          <w:jc w:val="center"/>
        </w:trPr>
        <w:tc>
          <w:tcPr>
            <w:tcW w:w="3307" w:type="dxa"/>
            <w:tcBorders>
              <w:top w:val="single" w:sz="4" w:space="0" w:color="auto"/>
              <w:left w:val="single" w:sz="4" w:space="0" w:color="auto"/>
              <w:bottom w:val="single" w:sz="4" w:space="0" w:color="auto"/>
              <w:right w:val="single" w:sz="4" w:space="0" w:color="auto"/>
            </w:tcBorders>
            <w:shd w:val="clear" w:color="auto" w:fill="auto"/>
            <w:noWrap/>
            <w:hideMark/>
          </w:tcPr>
          <w:p w:rsidR="00E47447" w:rsidRPr="00374A23" w:rsidRDefault="00E47447" w:rsidP="00661024">
            <w:pPr>
              <w:pStyle w:val="Tabletext"/>
              <w:rPr>
                <w:rStyle w:val="SubtleEmphasis"/>
              </w:rPr>
            </w:pPr>
            <w:r w:rsidRPr="00374A23">
              <w:rPr>
                <w:rStyle w:val="SubtleEmphasis"/>
              </w:rPr>
              <w:t>Debt Service Cover Ratio</w:t>
            </w:r>
          </w:p>
        </w:tc>
        <w:tc>
          <w:tcPr>
            <w:tcW w:w="933" w:type="dxa"/>
            <w:tcBorders>
              <w:top w:val="nil"/>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3.06x</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4.13x</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4.85x</w:t>
            </w:r>
          </w:p>
        </w:tc>
        <w:tc>
          <w:tcPr>
            <w:tcW w:w="933" w:type="dxa"/>
            <w:tcBorders>
              <w:top w:val="nil"/>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3.28x</w:t>
            </w:r>
          </w:p>
        </w:tc>
      </w:tr>
      <w:tr w:rsidR="00E47447" w:rsidRPr="00584545" w:rsidTr="00891363">
        <w:trPr>
          <w:trHeight w:val="4"/>
          <w:jc w:val="center"/>
        </w:trPr>
        <w:tc>
          <w:tcPr>
            <w:tcW w:w="3307" w:type="dxa"/>
            <w:tcBorders>
              <w:top w:val="nil"/>
              <w:left w:val="single" w:sz="4" w:space="0" w:color="auto"/>
              <w:bottom w:val="single" w:sz="4" w:space="0" w:color="auto"/>
              <w:right w:val="single" w:sz="4" w:space="0" w:color="auto"/>
            </w:tcBorders>
            <w:shd w:val="clear" w:color="auto" w:fill="auto"/>
            <w:hideMark/>
          </w:tcPr>
          <w:p w:rsidR="00E47447" w:rsidRPr="00374A23" w:rsidRDefault="00E47447" w:rsidP="00661024">
            <w:pPr>
              <w:pStyle w:val="Tabletext"/>
              <w:rPr>
                <w:rStyle w:val="SubtleEmphasis"/>
              </w:rPr>
            </w:pPr>
            <w:r w:rsidRPr="00374A23">
              <w:rPr>
                <w:rStyle w:val="SubtleEmphasis"/>
              </w:rPr>
              <w:t>Unrestricted Current Ratio</w:t>
            </w:r>
          </w:p>
        </w:tc>
        <w:tc>
          <w:tcPr>
            <w:tcW w:w="933" w:type="dxa"/>
            <w:tcBorders>
              <w:top w:val="nil"/>
              <w:left w:val="nil"/>
              <w:bottom w:val="nil"/>
              <w:right w:val="single" w:sz="4" w:space="0" w:color="auto"/>
            </w:tcBorders>
            <w:shd w:val="clear" w:color="auto" w:fill="auto"/>
            <w:noWrap/>
            <w:vAlign w:val="bottom"/>
            <w:hideMark/>
          </w:tcPr>
          <w:p w:rsidR="00E47447" w:rsidRDefault="00E47447" w:rsidP="00E47447">
            <w:pPr>
              <w:pStyle w:val="TableNumbers"/>
            </w:pPr>
            <w:r>
              <w:t>2.50x</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3.49x</w:t>
            </w:r>
          </w:p>
        </w:tc>
        <w:tc>
          <w:tcPr>
            <w:tcW w:w="933" w:type="dxa"/>
            <w:tcBorders>
              <w:top w:val="nil"/>
              <w:left w:val="single" w:sz="4" w:space="0" w:color="auto"/>
              <w:bottom w:val="nil"/>
              <w:right w:val="single" w:sz="4" w:space="0" w:color="auto"/>
            </w:tcBorders>
            <w:shd w:val="clear" w:color="auto" w:fill="auto"/>
            <w:noWrap/>
            <w:vAlign w:val="bottom"/>
            <w:hideMark/>
          </w:tcPr>
          <w:p w:rsidR="00E47447" w:rsidRDefault="00E47447" w:rsidP="00E47447">
            <w:pPr>
              <w:pStyle w:val="TableNumbers"/>
            </w:pPr>
            <w:r>
              <w:t>2.72x</w:t>
            </w:r>
          </w:p>
        </w:tc>
        <w:tc>
          <w:tcPr>
            <w:tcW w:w="933" w:type="dxa"/>
            <w:tcBorders>
              <w:top w:val="nil"/>
              <w:left w:val="nil"/>
              <w:bottom w:val="nil"/>
              <w:right w:val="single" w:sz="4" w:space="0" w:color="auto"/>
            </w:tcBorders>
            <w:shd w:val="clear" w:color="auto" w:fill="auto"/>
            <w:noWrap/>
            <w:vAlign w:val="bottom"/>
            <w:hideMark/>
          </w:tcPr>
          <w:p w:rsidR="00E47447" w:rsidRDefault="00E47447" w:rsidP="00E47447">
            <w:pPr>
              <w:pStyle w:val="TableNumbers"/>
            </w:pPr>
            <w:r>
              <w:t>1.69x</w:t>
            </w:r>
          </w:p>
        </w:tc>
      </w:tr>
      <w:tr w:rsidR="00E47447" w:rsidRPr="00584545" w:rsidTr="00891363">
        <w:trPr>
          <w:trHeight w:val="4"/>
          <w:jc w:val="center"/>
        </w:trPr>
        <w:tc>
          <w:tcPr>
            <w:tcW w:w="3307" w:type="dxa"/>
            <w:tcBorders>
              <w:top w:val="nil"/>
              <w:left w:val="single" w:sz="4" w:space="0" w:color="auto"/>
              <w:bottom w:val="single" w:sz="4" w:space="0" w:color="auto"/>
              <w:right w:val="nil"/>
            </w:tcBorders>
            <w:shd w:val="clear" w:color="auto" w:fill="auto"/>
            <w:hideMark/>
          </w:tcPr>
          <w:p w:rsidR="00E47447" w:rsidRPr="00BF524A" w:rsidRDefault="00E47447" w:rsidP="00AD54A7">
            <w:pPr>
              <w:pStyle w:val="Tabletext"/>
              <w:rPr>
                <w:rStyle w:val="SubtleEmphasis"/>
                <w:rFonts w:cs="Times New Roman"/>
                <w:color w:val="auto"/>
                <w:spacing w:val="-2"/>
                <w:kern w:val="22"/>
                <w:lang w:eastAsia="en-AU"/>
              </w:rPr>
            </w:pPr>
            <w:r w:rsidRPr="00BF524A">
              <w:rPr>
                <w:rStyle w:val="SubtleEmphasis"/>
                <w:rFonts w:cs="Times New Roman"/>
                <w:color w:val="auto"/>
                <w:spacing w:val="-2"/>
                <w:kern w:val="22"/>
                <w:lang w:eastAsia="en-AU"/>
              </w:rPr>
              <w:t>Own Source Operating Revenue Ratio</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46.8%</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49.4%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54.9%</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49.5%</w:t>
            </w:r>
          </w:p>
        </w:tc>
      </w:tr>
      <w:tr w:rsidR="00E47447" w:rsidRPr="00584545" w:rsidTr="00891363">
        <w:trPr>
          <w:trHeight w:val="4"/>
          <w:jc w:val="center"/>
        </w:trPr>
        <w:tc>
          <w:tcPr>
            <w:tcW w:w="3307" w:type="dxa"/>
            <w:tcBorders>
              <w:top w:val="nil"/>
              <w:left w:val="single" w:sz="4" w:space="0" w:color="auto"/>
              <w:bottom w:val="single" w:sz="4" w:space="0" w:color="auto"/>
              <w:right w:val="nil"/>
            </w:tcBorders>
            <w:shd w:val="clear" w:color="auto" w:fill="auto"/>
            <w:hideMark/>
          </w:tcPr>
          <w:p w:rsidR="00E47447" w:rsidRPr="00BF524A" w:rsidRDefault="00E47447" w:rsidP="00AD54A7">
            <w:pPr>
              <w:pStyle w:val="Tabletext"/>
              <w:rPr>
                <w:rStyle w:val="SubtleEmphasis"/>
                <w:rFonts w:cs="Times New Roman"/>
                <w:color w:val="auto"/>
                <w:spacing w:val="-2"/>
                <w:kern w:val="22"/>
                <w:lang w:eastAsia="en-AU"/>
              </w:rPr>
            </w:pPr>
            <w:r w:rsidRPr="00BF524A">
              <w:rPr>
                <w:rStyle w:val="SubtleEmphasis"/>
                <w:rFonts w:cs="Times New Roman"/>
                <w:color w:val="auto"/>
                <w:spacing w:val="-2"/>
                <w:kern w:val="22"/>
                <w:lang w:eastAsia="en-AU"/>
              </w:rPr>
              <w:t>Cash Expense Ratio</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0.5 months</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2.0 months</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2.2 months</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2.8 months</w:t>
            </w:r>
          </w:p>
        </w:tc>
      </w:tr>
      <w:tr w:rsidR="00E47447" w:rsidRPr="00584545" w:rsidTr="00891363">
        <w:trPr>
          <w:trHeight w:val="4"/>
          <w:jc w:val="center"/>
        </w:trPr>
        <w:tc>
          <w:tcPr>
            <w:tcW w:w="3307" w:type="dxa"/>
            <w:tcBorders>
              <w:top w:val="nil"/>
              <w:left w:val="single" w:sz="4" w:space="0" w:color="auto"/>
              <w:bottom w:val="single" w:sz="4" w:space="0" w:color="auto"/>
              <w:right w:val="nil"/>
            </w:tcBorders>
            <w:shd w:val="clear" w:color="auto" w:fill="auto"/>
            <w:hideMark/>
          </w:tcPr>
          <w:p w:rsidR="00E47447" w:rsidRPr="00374A23" w:rsidRDefault="00E47447" w:rsidP="00661024">
            <w:pPr>
              <w:pStyle w:val="Tabletext"/>
              <w:rPr>
                <w:rStyle w:val="SubtleEmphasis"/>
              </w:rPr>
            </w:pPr>
            <w:r w:rsidRPr="00374A23">
              <w:rPr>
                <w:rStyle w:val="SubtleEmphasis"/>
              </w:rPr>
              <w:t>Net assets ($'000s)</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192,335</w:t>
            </w:r>
          </w:p>
        </w:tc>
        <w:tc>
          <w:tcPr>
            <w:tcW w:w="933" w:type="dxa"/>
            <w:tcBorders>
              <w:top w:val="single" w:sz="4" w:space="0" w:color="auto"/>
              <w:left w:val="nil"/>
              <w:bottom w:val="single" w:sz="4" w:space="0" w:color="auto"/>
              <w:right w:val="single" w:sz="4" w:space="0" w:color="auto"/>
            </w:tcBorders>
            <w:vAlign w:val="bottom"/>
          </w:tcPr>
          <w:p w:rsidR="00E47447" w:rsidRDefault="00E47447" w:rsidP="00E47447">
            <w:pPr>
              <w:pStyle w:val="TableNumbers"/>
            </w:pPr>
            <w:r>
              <w:t>196,850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447" w:rsidRDefault="00E47447" w:rsidP="00E47447">
            <w:pPr>
              <w:pStyle w:val="TableNumbers"/>
            </w:pPr>
            <w:r>
              <w:t>184,411</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47447" w:rsidRDefault="00E47447" w:rsidP="00E47447">
            <w:pPr>
              <w:pStyle w:val="TableNumbers"/>
            </w:pPr>
            <w:r>
              <w:t>174,271</w:t>
            </w:r>
          </w:p>
        </w:tc>
      </w:tr>
    </w:tbl>
    <w:p w:rsidR="003D5DCE" w:rsidRPr="00893E42" w:rsidRDefault="00821C83" w:rsidP="00DE2E88">
      <w:pPr>
        <w:pStyle w:val="Title"/>
      </w:pPr>
      <w:r>
        <w:t>Key Observations</w:t>
      </w:r>
    </w:p>
    <w:p w:rsidR="00891363" w:rsidRDefault="00891363" w:rsidP="00891363">
      <w:pPr>
        <w:pStyle w:val="Subtitle"/>
        <w:ind w:left="714" w:hanging="357"/>
      </w:pPr>
      <w:r>
        <w:t>Council’s underlying operating performance, measured by EBITDA, has increased over the review period although it has declined in the last two years as all operating expenses have seen double digit growth in th</w:t>
      </w:r>
      <w:r w:rsidR="005930F6">
        <w:t>ose</w:t>
      </w:r>
      <w:r>
        <w:t xml:space="preserve"> year</w:t>
      </w:r>
      <w:r w:rsidR="005930F6">
        <w:t>s</w:t>
      </w:r>
      <w:r>
        <w:t>.</w:t>
      </w:r>
    </w:p>
    <w:p w:rsidR="00891363" w:rsidRPr="00EB3AB8" w:rsidRDefault="00891363" w:rsidP="00891363">
      <w:pPr>
        <w:pStyle w:val="Subtitle"/>
      </w:pPr>
      <w:r>
        <w:t>The Operating Ratio has been significantly below the benchmark of negative 4% in each year and the poor operating results highlight that if the current trend continues then Council will face</w:t>
      </w:r>
      <w:r w:rsidR="00604D71">
        <w:t xml:space="preserve"> increasing</w:t>
      </w:r>
      <w:r>
        <w:t xml:space="preserve"> </w:t>
      </w:r>
      <w:r w:rsidR="005930F6">
        <w:t xml:space="preserve">Sustainability </w:t>
      </w:r>
      <w:r>
        <w:t>issues.</w:t>
      </w:r>
    </w:p>
    <w:p w:rsidR="00A30820" w:rsidRDefault="00891363">
      <w:pPr>
        <w:pStyle w:val="Subtitle"/>
        <w:ind w:left="714" w:hanging="357"/>
      </w:pPr>
      <w:r>
        <w:t>The DSCR and Interest Cover Ratio have been above the</w:t>
      </w:r>
      <w:r w:rsidR="00E45DCA">
        <w:t>ir</w:t>
      </w:r>
      <w:r>
        <w:t xml:space="preserve"> benchmark in each year although both are at their lowest in 2012.  This </w:t>
      </w:r>
      <w:r w:rsidR="00ED15DF">
        <w:t xml:space="preserve">has resulted from </w:t>
      </w:r>
      <w:r w:rsidR="00CF76E2">
        <w:t>increas</w:t>
      </w:r>
      <w:r w:rsidR="005930F6">
        <w:t>ed</w:t>
      </w:r>
      <w:r w:rsidR="00CF76E2">
        <w:t xml:space="preserve"> net borrowings over the review period</w:t>
      </w:r>
      <w:r w:rsidR="00ED15DF">
        <w:t xml:space="preserve"> </w:t>
      </w:r>
      <w:r w:rsidR="00E45DCA">
        <w:t>from $5.8m in 2009 to $10.5m in 2012.  This represents 5.5% of Net Assets in 2012.</w:t>
      </w:r>
    </w:p>
    <w:p w:rsidR="00891363" w:rsidRDefault="00891363" w:rsidP="00891363">
      <w:pPr>
        <w:pStyle w:val="Subtitle"/>
        <w:ind w:left="714" w:hanging="357"/>
      </w:pPr>
      <w:r>
        <w:t>The Unrestricted Current Ratio has been above the 1.50x benchmark in all four years although it did decrease in 2012 due to an increase in Council’s current liabilities less specific purpose liabilities in 2012.</w:t>
      </w:r>
    </w:p>
    <w:p w:rsidR="00891363" w:rsidRDefault="00891363" w:rsidP="00891363">
      <w:pPr>
        <w:pStyle w:val="Subtitle"/>
      </w:pPr>
      <w:r>
        <w:t xml:space="preserve">The Own Source Operating Revenue Ratio has remained </w:t>
      </w:r>
      <w:r w:rsidR="00E45DCA">
        <w:t>below</w:t>
      </w:r>
      <w:r>
        <w:t xml:space="preserve"> the 60.0% benchmark due to Council’s r</w:t>
      </w:r>
      <w:r w:rsidR="00E45DCA">
        <w:t>eliance on grants and contributions to boost their total revenues.</w:t>
      </w:r>
    </w:p>
    <w:p w:rsidR="00891363" w:rsidRDefault="00891363" w:rsidP="00891363">
      <w:pPr>
        <w:pStyle w:val="Subtitle"/>
      </w:pPr>
      <w:r>
        <w:t xml:space="preserve">The Cash Expense Ratio has been below the 3.0 months benchmark in each review year due to Council utilising </w:t>
      </w:r>
      <w:r w:rsidR="005A1368">
        <w:t>term deposits</w:t>
      </w:r>
      <w:r>
        <w:t xml:space="preserve"> to maximise their return on investment.  These products are classified as investments as opposed to cash and cash equivalents and this is why this ratio is below the benchmark</w:t>
      </w:r>
      <w:r w:rsidR="001612E7">
        <w:t xml:space="preserve"> but overall does not indicate a liquidity issue</w:t>
      </w:r>
      <w:r>
        <w:t>.</w:t>
      </w:r>
    </w:p>
    <w:p w:rsidR="00891363" w:rsidRPr="00412129" w:rsidRDefault="00891363" w:rsidP="00891363">
      <w:pPr>
        <w:pStyle w:val="Subtitle"/>
      </w:pPr>
      <w:r>
        <w:t>Council’s Net Assets have increas</w:t>
      </w:r>
      <w:r w:rsidR="00AF2175">
        <w:t>ed over the review period</w:t>
      </w:r>
      <w:r>
        <w:t xml:space="preserve"> </w:t>
      </w:r>
      <w:r w:rsidRPr="001524D7">
        <w:t xml:space="preserve">due to the Asset Revaluations. </w:t>
      </w:r>
      <w:r w:rsidR="00AF2175">
        <w:t xml:space="preserve"> In 2010 and 2011</w:t>
      </w:r>
      <w:r w:rsidRPr="001524D7">
        <w:t xml:space="preserve"> Council revalued </w:t>
      </w:r>
      <w:r>
        <w:t xml:space="preserve">their </w:t>
      </w:r>
      <w:r w:rsidRPr="001524D7">
        <w:t xml:space="preserve">infrastructure assets </w:t>
      </w:r>
      <w:r>
        <w:t>which added $</w:t>
      </w:r>
      <w:r w:rsidR="00AF2175">
        <w:t>19.0m</w:t>
      </w:r>
      <w:r>
        <w:t xml:space="preserve"> while an accounting adjustmen</w:t>
      </w:r>
      <w:r w:rsidR="00AF2175">
        <w:t>t relating to community land increas</w:t>
      </w:r>
      <w:r>
        <w:t>ed the value of land by $</w:t>
      </w:r>
      <w:r w:rsidR="00AF2175">
        <w:t>7.1</w:t>
      </w:r>
      <w:r>
        <w:t xml:space="preserve">m in 2011.  </w:t>
      </w:r>
    </w:p>
    <w:p w:rsidR="00891363" w:rsidRDefault="00891363" w:rsidP="00891363">
      <w:pPr>
        <w:pStyle w:val="Subtitle"/>
      </w:pPr>
      <w:r>
        <w:t>When the Asset Revaluations are exclude</w:t>
      </w:r>
      <w:r w:rsidR="00043D7F">
        <w:t>d there has been a $14.5</w:t>
      </w:r>
      <w:r>
        <w:t>m decrease in the IPP&amp;E asset base over the three year period, compared to the written down value of disposed assets and depreciation.</w:t>
      </w:r>
    </w:p>
    <w:p w:rsidR="00424A2E" w:rsidRDefault="00424A2E">
      <w:pPr>
        <w:spacing w:before="0" w:after="200" w:line="276" w:lineRule="auto"/>
        <w:jc w:val="left"/>
        <w:rPr>
          <w:b/>
          <w:noProof/>
        </w:rPr>
      </w:pPr>
    </w:p>
    <w:p w:rsidR="003D5DCE" w:rsidRPr="00893E42" w:rsidRDefault="003D5DCE" w:rsidP="00893E42">
      <w:pPr>
        <w:pStyle w:val="Heading2"/>
        <w:spacing w:before="220" w:after="220" w:line="280" w:lineRule="exact"/>
      </w:pPr>
      <w:bookmarkStart w:id="41" w:name="_Toc330915490"/>
      <w:bookmarkStart w:id="42" w:name="_Toc334702514"/>
      <w:r w:rsidRPr="00B12DD3">
        <w:lastRenderedPageBreak/>
        <w:t>3.5:</w:t>
      </w:r>
      <w:r w:rsidRPr="00B12DD3">
        <w:tab/>
        <w:t>Statement of Cashflows</w:t>
      </w:r>
      <w:bookmarkEnd w:id="41"/>
      <w:bookmarkEnd w:id="42"/>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Default="00E47447" w:rsidP="00DE2E88">
      <w:pPr>
        <w:pStyle w:val="Title"/>
      </w:pPr>
    </w:p>
    <w:p w:rsidR="00E47447" w:rsidRPr="00E47447" w:rsidRDefault="00E47447" w:rsidP="00E47447">
      <w:r w:rsidRPr="00E47447">
        <w:rPr>
          <w:noProof/>
        </w:rPr>
        <w:drawing>
          <wp:anchor distT="0" distB="0" distL="114300" distR="114300" simplePos="0" relativeHeight="251663360" behindDoc="0" locked="0" layoutInCell="1" allowOverlap="1" wp14:anchorId="2DE645CB" wp14:editId="76104473">
            <wp:simplePos x="0" y="0"/>
            <wp:positionH relativeFrom="column">
              <wp:posOffset>22225</wp:posOffset>
            </wp:positionH>
            <wp:positionV relativeFrom="paragraph">
              <wp:posOffset>-2586990</wp:posOffset>
            </wp:positionV>
            <wp:extent cx="5100955" cy="2724150"/>
            <wp:effectExtent l="19050" t="0" r="444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p>
    <w:p w:rsidR="00E30C65" w:rsidRPr="002625EB" w:rsidRDefault="00E30C65" w:rsidP="00DE2E88">
      <w:pPr>
        <w:pStyle w:val="Title"/>
      </w:pPr>
      <w:r>
        <w:t>Key Observations</w:t>
      </w:r>
    </w:p>
    <w:p w:rsidR="00AF2175" w:rsidRDefault="00AF2175" w:rsidP="00AF2175">
      <w:pPr>
        <w:pStyle w:val="Subtitle"/>
        <w:ind w:left="714" w:hanging="357"/>
      </w:pPr>
      <w:r>
        <w:t xml:space="preserve">While Council’s cash and cash equivalents have been on a downward trend, when investments are included there has been a $4.6m increase </w:t>
      </w:r>
      <w:r w:rsidR="002E0BC5">
        <w:t>from $6.5m in</w:t>
      </w:r>
      <w:r>
        <w:t xml:space="preserve"> 2009 </w:t>
      </w:r>
      <w:r w:rsidR="002E0BC5">
        <w:t>to</w:t>
      </w:r>
      <w:r>
        <w:t xml:space="preserve"> </w:t>
      </w:r>
      <w:r w:rsidR="002E0BC5">
        <w:t xml:space="preserve">$12.1m in </w:t>
      </w:r>
      <w:r>
        <w:t>2012.</w:t>
      </w:r>
    </w:p>
    <w:p w:rsidR="00AF2175" w:rsidRPr="00AD55A2" w:rsidRDefault="00AF2175" w:rsidP="00AF2175">
      <w:pPr>
        <w:pStyle w:val="Subtitle"/>
      </w:pPr>
      <w:r>
        <w:t>Of the $12.1m total, $5.6m is externally restricted and $4.9m is internally restricted while $1.</w:t>
      </w:r>
      <w:r w:rsidRPr="00AD55A2">
        <w:t>6m is unrestricted.</w:t>
      </w:r>
    </w:p>
    <w:p w:rsidR="00AF2175" w:rsidRPr="00AD55A2" w:rsidRDefault="00AD55A2" w:rsidP="00AF2175">
      <w:pPr>
        <w:pStyle w:val="Subtitle"/>
      </w:pPr>
      <w:r w:rsidRPr="00AD55A2">
        <w:t>T</w:t>
      </w:r>
      <w:r w:rsidR="00AF2175" w:rsidRPr="00AD55A2">
        <w:t>he investments portfolio of $11</w:t>
      </w:r>
      <w:r w:rsidR="007A793D" w:rsidRPr="00AD55A2">
        <w:t>.3</w:t>
      </w:r>
      <w:r w:rsidR="00AF2175" w:rsidRPr="00AD55A2">
        <w:t>m</w:t>
      </w:r>
      <w:r w:rsidRPr="00AD55A2">
        <w:t xml:space="preserve"> </w:t>
      </w:r>
      <w:r w:rsidR="00922B8E">
        <w:t>consists</w:t>
      </w:r>
      <w:r w:rsidRPr="00AD55A2">
        <w:t xml:space="preserve"> entirely of term deposits.</w:t>
      </w:r>
    </w:p>
    <w:p w:rsidR="003D5DCE" w:rsidRDefault="00AF2175" w:rsidP="00AF2175">
      <w:pPr>
        <w:pStyle w:val="Subtitle"/>
        <w:rPr>
          <w:b/>
        </w:rPr>
      </w:pPr>
      <w:r w:rsidRPr="00AD55A2">
        <w:t>Council’s</w:t>
      </w:r>
      <w:r>
        <w:t xml:space="preserve"> management of their cash and investments, along with an Unrestricted Current Ratio above the benchmark indicates that the</w:t>
      </w:r>
      <w:r w:rsidR="00922B8E">
        <w:t xml:space="preserve">y have maintained adequate </w:t>
      </w:r>
      <w:r>
        <w:t>liquidity over the period</w:t>
      </w:r>
      <w:r w:rsidR="00922B8E">
        <w:t>.</w:t>
      </w: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E47447" w:rsidRDefault="00E47447" w:rsidP="000A7B79">
      <w:pPr>
        <w:spacing w:line="276" w:lineRule="auto"/>
        <w:jc w:val="left"/>
        <w:rPr>
          <w:b/>
        </w:rPr>
      </w:pPr>
    </w:p>
    <w:p w:rsidR="00AD55A2" w:rsidRDefault="00AD55A2" w:rsidP="000A7B79">
      <w:pPr>
        <w:spacing w:line="276" w:lineRule="auto"/>
        <w:jc w:val="left"/>
        <w:rPr>
          <w:b/>
        </w:rPr>
      </w:pPr>
    </w:p>
    <w:p w:rsidR="00B96B71" w:rsidRPr="00893E42" w:rsidRDefault="00B96B71" w:rsidP="00893E42">
      <w:pPr>
        <w:pStyle w:val="Heading2"/>
        <w:spacing w:before="220" w:after="220" w:line="280" w:lineRule="exact"/>
      </w:pPr>
      <w:bookmarkStart w:id="43" w:name="_Toc330915491"/>
      <w:bookmarkStart w:id="44" w:name="_Toc334702515"/>
      <w:r>
        <w:lastRenderedPageBreak/>
        <w:t>3.6:</w:t>
      </w:r>
      <w:r>
        <w:tab/>
      </w:r>
      <w:r w:rsidRPr="00E45147">
        <w:t>Capital Expenditure</w:t>
      </w:r>
      <w:bookmarkEnd w:id="43"/>
      <w:bookmarkEnd w:id="44"/>
    </w:p>
    <w:p w:rsidR="00B96B71" w:rsidRPr="00893E42" w:rsidRDefault="00B96B71" w:rsidP="0068747D">
      <w:r w:rsidRPr="00893E42">
        <w:t>The following section predominantly relies on information obtained from Special Schedules 7 and 8 that accompany the annual financial statements.  These figures are unaudited and are therefore Council’s estimated figures.</w:t>
      </w:r>
    </w:p>
    <w:p w:rsidR="00B96B71" w:rsidRPr="00893E42" w:rsidRDefault="00B96B71" w:rsidP="00893E42">
      <w:pPr>
        <w:pStyle w:val="Heading2"/>
        <w:spacing w:before="220" w:after="220" w:line="280" w:lineRule="exact"/>
      </w:pPr>
      <w:bookmarkStart w:id="45" w:name="_Toc330544287"/>
      <w:bookmarkStart w:id="46" w:name="_Toc330915492"/>
      <w:bookmarkStart w:id="47" w:name="_Toc334702516"/>
      <w:r w:rsidRPr="00893E42">
        <w:t>3.6(a):</w:t>
      </w:r>
      <w:r w:rsidRPr="00893E42">
        <w:tab/>
        <w:t>Infrastructure Backlog</w:t>
      </w:r>
      <w:bookmarkEnd w:id="45"/>
      <w:bookmarkEnd w:id="46"/>
      <w:bookmarkEnd w:id="47"/>
    </w:p>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r w:rsidRPr="00E47447">
        <w:rPr>
          <w:noProof/>
        </w:rPr>
        <w:drawing>
          <wp:anchor distT="0" distB="0" distL="114300" distR="114300" simplePos="0" relativeHeight="251664384" behindDoc="0" locked="0" layoutInCell="1" allowOverlap="1" wp14:anchorId="691EE975" wp14:editId="61EF2D1B">
            <wp:simplePos x="0" y="0"/>
            <wp:positionH relativeFrom="column">
              <wp:posOffset>22225</wp:posOffset>
            </wp:positionH>
            <wp:positionV relativeFrom="paragraph">
              <wp:posOffset>-2585720</wp:posOffset>
            </wp:positionV>
            <wp:extent cx="5100955" cy="2724150"/>
            <wp:effectExtent l="19050" t="0" r="444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p>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E47447" w:rsidP="0068747D"/>
    <w:p w:rsidR="00E47447" w:rsidRDefault="00970C69" w:rsidP="0068747D">
      <w:r w:rsidRPr="00970C69">
        <w:rPr>
          <w:noProof/>
        </w:rPr>
        <w:drawing>
          <wp:anchor distT="0" distB="0" distL="114300" distR="114300" simplePos="0" relativeHeight="251671552" behindDoc="0" locked="0" layoutInCell="1" allowOverlap="1" wp14:anchorId="2FA24B76" wp14:editId="0035C1DE">
            <wp:simplePos x="0" y="0"/>
            <wp:positionH relativeFrom="column">
              <wp:posOffset>22225</wp:posOffset>
            </wp:positionH>
            <wp:positionV relativeFrom="paragraph">
              <wp:posOffset>-2579370</wp:posOffset>
            </wp:positionV>
            <wp:extent cx="5100955" cy="2724150"/>
            <wp:effectExtent l="19050" t="0" r="444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p>
    <w:p w:rsidR="00970C69" w:rsidRDefault="0003767A" w:rsidP="0068747D">
      <w:r>
        <w:t>Council’s Infrastructure Backlog has grown year on year from</w:t>
      </w:r>
      <w:r w:rsidR="00AD55A2">
        <w:t xml:space="preserve"> </w:t>
      </w:r>
      <w:r>
        <w:t>$41.7m in 2009 to $53.6m in 2012.</w:t>
      </w:r>
      <w:r w:rsidR="00970C69">
        <w:t xml:space="preserve">  </w:t>
      </w:r>
      <w:r>
        <w:t xml:space="preserve">This is predominantly due to the public roads </w:t>
      </w:r>
      <w:r w:rsidR="005930F6">
        <w:t>Infrastructure B</w:t>
      </w:r>
      <w:r>
        <w:t xml:space="preserve">acklog increasing from $27.2m in 2009 to $37.7m in 2012.  </w:t>
      </w:r>
    </w:p>
    <w:p w:rsidR="00AD55A2" w:rsidRDefault="00AD55A2" w:rsidP="0068747D">
      <w:r>
        <w:t xml:space="preserve">The Infrastructure Backlog has increased over the period due to Council’s inability to fund the necessary infrastructure works as </w:t>
      </w:r>
      <w:r w:rsidR="002E0BC5">
        <w:t>shown</w:t>
      </w:r>
      <w:r>
        <w:t xml:space="preserve"> within the ratios below.  </w:t>
      </w:r>
    </w:p>
    <w:p w:rsidR="00150FA5" w:rsidRPr="0003767A" w:rsidRDefault="00AD55A2" w:rsidP="0068747D">
      <w:pPr>
        <w:rPr>
          <w:color w:val="FF0000"/>
        </w:rPr>
      </w:pPr>
      <w:r>
        <w:lastRenderedPageBreak/>
        <w:t>The accuracy of the backlog is expected to improve as Council refine their Asset Management Plan within the IP&amp;R documentation</w:t>
      </w:r>
      <w:r w:rsidR="00F91A3A">
        <w:t xml:space="preserve"> in future years</w:t>
      </w:r>
      <w:r>
        <w:t xml:space="preserve">.  </w:t>
      </w:r>
    </w:p>
    <w:p w:rsidR="00B96B71" w:rsidRPr="00893E42" w:rsidRDefault="00B96B71" w:rsidP="00893E42">
      <w:pPr>
        <w:pStyle w:val="Heading2"/>
        <w:spacing w:before="220" w:after="220" w:line="280" w:lineRule="exact"/>
      </w:pPr>
      <w:bookmarkStart w:id="48" w:name="_Toc330544288"/>
      <w:bookmarkStart w:id="49" w:name="_Toc330915493"/>
      <w:bookmarkStart w:id="50" w:name="_Toc334702517"/>
      <w:r w:rsidRPr="00893E42">
        <w:t>3.6(b):</w:t>
      </w:r>
      <w:r w:rsidRPr="00893E42">
        <w:tab/>
        <w:t>Infrastructure Status</w:t>
      </w:r>
      <w:bookmarkEnd w:id="48"/>
      <w:bookmarkEnd w:id="49"/>
      <w:bookmarkEnd w:id="50"/>
    </w:p>
    <w:tbl>
      <w:tblPr>
        <w:tblW w:w="8839" w:type="dxa"/>
        <w:jc w:val="center"/>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1138"/>
        <w:gridCol w:w="1138"/>
        <w:gridCol w:w="1138"/>
        <w:gridCol w:w="1138"/>
      </w:tblGrid>
      <w:tr w:rsidR="00A2559F" w:rsidRPr="007775EC" w:rsidTr="00A2559F">
        <w:trPr>
          <w:trHeight w:val="315"/>
          <w:jc w:val="center"/>
        </w:trPr>
        <w:tc>
          <w:tcPr>
            <w:tcW w:w="4287" w:type="dxa"/>
            <w:shd w:val="clear" w:color="auto" w:fill="BACFF8"/>
            <w:noWrap/>
            <w:vAlign w:val="center"/>
            <w:hideMark/>
          </w:tcPr>
          <w:p w:rsidR="00A2559F" w:rsidRPr="00330530" w:rsidRDefault="00A2559F" w:rsidP="00490328">
            <w:pPr>
              <w:pStyle w:val="TableHeading"/>
              <w:rPr>
                <w:kern w:val="0"/>
                <w:lang w:eastAsia="en-US"/>
              </w:rPr>
            </w:pPr>
            <w:r>
              <w:rPr>
                <w:kern w:val="0"/>
                <w:lang w:eastAsia="en-US"/>
              </w:rPr>
              <w:t>Infrastructure Status</w:t>
            </w:r>
          </w:p>
        </w:tc>
        <w:tc>
          <w:tcPr>
            <w:tcW w:w="4552" w:type="dxa"/>
            <w:gridSpan w:val="4"/>
            <w:shd w:val="clear" w:color="auto" w:fill="BACFF8"/>
          </w:tcPr>
          <w:p w:rsidR="00A2559F" w:rsidRPr="00330530" w:rsidRDefault="00A2559F" w:rsidP="00490328">
            <w:pPr>
              <w:pStyle w:val="TableHeading"/>
              <w:rPr>
                <w:kern w:val="0"/>
                <w:lang w:eastAsia="en-US"/>
              </w:rPr>
            </w:pPr>
            <w:r w:rsidRPr="00330530">
              <w:rPr>
                <w:kern w:val="0"/>
                <w:lang w:eastAsia="en-US"/>
              </w:rPr>
              <w:t>Year ended 30 June</w:t>
            </w:r>
          </w:p>
        </w:tc>
      </w:tr>
      <w:tr w:rsidR="00A2559F" w:rsidRPr="007775EC" w:rsidTr="00A2559F">
        <w:trPr>
          <w:trHeight w:val="315"/>
          <w:jc w:val="center"/>
        </w:trPr>
        <w:tc>
          <w:tcPr>
            <w:tcW w:w="4287" w:type="dxa"/>
            <w:shd w:val="clear" w:color="auto" w:fill="FFFFFF"/>
            <w:noWrap/>
            <w:vAlign w:val="center"/>
            <w:hideMark/>
          </w:tcPr>
          <w:p w:rsidR="00A2559F" w:rsidRPr="00330530" w:rsidRDefault="00A2559F" w:rsidP="00FB5E80">
            <w:pPr>
              <w:autoSpaceDE w:val="0"/>
              <w:autoSpaceDN w:val="0"/>
              <w:adjustRightInd w:val="0"/>
              <w:spacing w:before="40" w:after="40" w:line="240" w:lineRule="auto"/>
              <w:jc w:val="left"/>
              <w:rPr>
                <w:rFonts w:cs="Calibri"/>
                <w:b/>
                <w:color w:val="000000"/>
                <w:spacing w:val="0"/>
                <w:kern w:val="0"/>
                <w:lang w:eastAsia="en-US"/>
              </w:rPr>
            </w:pPr>
            <w:r w:rsidRPr="00330530">
              <w:rPr>
                <w:rFonts w:cs="Calibri"/>
                <w:b/>
                <w:color w:val="000000"/>
                <w:spacing w:val="0"/>
                <w:kern w:val="0"/>
                <w:lang w:eastAsia="en-US"/>
              </w:rPr>
              <w:t> </w:t>
            </w:r>
          </w:p>
        </w:tc>
        <w:tc>
          <w:tcPr>
            <w:tcW w:w="1138" w:type="dxa"/>
            <w:shd w:val="clear" w:color="auto" w:fill="FFFFFF"/>
            <w:noWrap/>
            <w:vAlign w:val="center"/>
            <w:hideMark/>
          </w:tcPr>
          <w:p w:rsidR="00A2559F" w:rsidRPr="00330530" w:rsidRDefault="00A2559F" w:rsidP="00490328">
            <w:pPr>
              <w:pStyle w:val="TableHeading"/>
              <w:rPr>
                <w:kern w:val="0"/>
                <w:lang w:eastAsia="en-US"/>
              </w:rPr>
            </w:pPr>
            <w:r w:rsidRPr="00330530">
              <w:rPr>
                <w:kern w:val="0"/>
                <w:lang w:eastAsia="en-US"/>
              </w:rPr>
              <w:t>201</w:t>
            </w:r>
            <w:r>
              <w:rPr>
                <w:kern w:val="0"/>
                <w:lang w:eastAsia="en-US"/>
              </w:rPr>
              <w:t>2</w:t>
            </w:r>
          </w:p>
        </w:tc>
        <w:tc>
          <w:tcPr>
            <w:tcW w:w="1138" w:type="dxa"/>
            <w:shd w:val="clear" w:color="auto" w:fill="FFFFFF"/>
            <w:noWrap/>
            <w:vAlign w:val="center"/>
            <w:hideMark/>
          </w:tcPr>
          <w:p w:rsidR="00A2559F" w:rsidRPr="00330530" w:rsidRDefault="00A2559F" w:rsidP="00490328">
            <w:pPr>
              <w:pStyle w:val="TableHeading"/>
              <w:rPr>
                <w:kern w:val="0"/>
                <w:lang w:eastAsia="en-US"/>
              </w:rPr>
            </w:pPr>
            <w:r w:rsidRPr="00330530">
              <w:rPr>
                <w:kern w:val="0"/>
                <w:lang w:eastAsia="en-US"/>
              </w:rPr>
              <w:t>201</w:t>
            </w:r>
            <w:r>
              <w:rPr>
                <w:kern w:val="0"/>
                <w:lang w:eastAsia="en-US"/>
              </w:rPr>
              <w:t>1</w:t>
            </w:r>
          </w:p>
        </w:tc>
        <w:tc>
          <w:tcPr>
            <w:tcW w:w="1138" w:type="dxa"/>
            <w:shd w:val="clear" w:color="auto" w:fill="FFFFFF"/>
          </w:tcPr>
          <w:p w:rsidR="00A2559F" w:rsidRPr="00330530" w:rsidRDefault="00A2559F" w:rsidP="00490328">
            <w:pPr>
              <w:pStyle w:val="TableHeading"/>
              <w:rPr>
                <w:kern w:val="0"/>
                <w:lang w:eastAsia="en-US"/>
              </w:rPr>
            </w:pPr>
            <w:r>
              <w:rPr>
                <w:kern w:val="0"/>
                <w:lang w:eastAsia="en-US"/>
              </w:rPr>
              <w:t>2010</w:t>
            </w:r>
          </w:p>
        </w:tc>
        <w:tc>
          <w:tcPr>
            <w:tcW w:w="1138" w:type="dxa"/>
            <w:shd w:val="clear" w:color="auto" w:fill="FFFFFF"/>
            <w:noWrap/>
            <w:vAlign w:val="center"/>
            <w:hideMark/>
          </w:tcPr>
          <w:p w:rsidR="00A2559F" w:rsidRPr="00330530" w:rsidRDefault="00A2559F" w:rsidP="00490328">
            <w:pPr>
              <w:pStyle w:val="TableHeading"/>
              <w:rPr>
                <w:kern w:val="0"/>
                <w:lang w:eastAsia="en-US"/>
              </w:rPr>
            </w:pPr>
            <w:r w:rsidRPr="00330530">
              <w:rPr>
                <w:kern w:val="0"/>
                <w:lang w:eastAsia="en-US"/>
              </w:rPr>
              <w:t>2009</w:t>
            </w:r>
          </w:p>
        </w:tc>
      </w:tr>
      <w:tr w:rsidR="00E47447" w:rsidRPr="007775EC" w:rsidTr="00891363">
        <w:trPr>
          <w:trHeight w:val="360"/>
          <w:jc w:val="center"/>
        </w:trPr>
        <w:tc>
          <w:tcPr>
            <w:tcW w:w="4287" w:type="dxa"/>
            <w:shd w:val="clear" w:color="auto" w:fill="auto"/>
            <w:vAlign w:val="center"/>
            <w:hideMark/>
          </w:tcPr>
          <w:p w:rsidR="00E47447" w:rsidRPr="00374A23" w:rsidRDefault="00E47447" w:rsidP="00661024">
            <w:pPr>
              <w:pStyle w:val="Tabletext"/>
              <w:rPr>
                <w:rStyle w:val="SubtleEmphasis"/>
              </w:rPr>
            </w:pPr>
            <w:r w:rsidRPr="00374A23">
              <w:rPr>
                <w:rStyle w:val="SubtleEmphasis"/>
              </w:rPr>
              <w:t>Bring to satisfactory standard ($’000s)</w:t>
            </w:r>
          </w:p>
        </w:tc>
        <w:tc>
          <w:tcPr>
            <w:tcW w:w="1138" w:type="dxa"/>
            <w:shd w:val="clear" w:color="auto" w:fill="auto"/>
            <w:noWrap/>
            <w:vAlign w:val="bottom"/>
            <w:hideMark/>
          </w:tcPr>
          <w:p w:rsidR="00E47447" w:rsidRDefault="00E47447" w:rsidP="00E47447">
            <w:pPr>
              <w:pStyle w:val="TableNumbers"/>
            </w:pPr>
            <w:r>
              <w:t>53,626</w:t>
            </w:r>
          </w:p>
        </w:tc>
        <w:tc>
          <w:tcPr>
            <w:tcW w:w="1138" w:type="dxa"/>
            <w:shd w:val="clear" w:color="auto" w:fill="auto"/>
            <w:noWrap/>
            <w:vAlign w:val="bottom"/>
            <w:hideMark/>
          </w:tcPr>
          <w:p w:rsidR="00E47447" w:rsidRDefault="00E47447" w:rsidP="00E47447">
            <w:pPr>
              <w:pStyle w:val="TableNumbers"/>
            </w:pPr>
            <w:r>
              <w:t>49,623</w:t>
            </w:r>
          </w:p>
        </w:tc>
        <w:tc>
          <w:tcPr>
            <w:tcW w:w="1138" w:type="dxa"/>
            <w:vAlign w:val="bottom"/>
          </w:tcPr>
          <w:p w:rsidR="00E47447" w:rsidRDefault="00E47447" w:rsidP="00E47447">
            <w:pPr>
              <w:pStyle w:val="TableNumbers"/>
            </w:pPr>
            <w:r>
              <w:t>47,052</w:t>
            </w:r>
          </w:p>
        </w:tc>
        <w:tc>
          <w:tcPr>
            <w:tcW w:w="1138" w:type="dxa"/>
            <w:shd w:val="clear" w:color="auto" w:fill="auto"/>
            <w:noWrap/>
            <w:vAlign w:val="bottom"/>
            <w:hideMark/>
          </w:tcPr>
          <w:p w:rsidR="00E47447" w:rsidRDefault="00E47447" w:rsidP="00E47447">
            <w:pPr>
              <w:pStyle w:val="TableNumbers"/>
            </w:pPr>
            <w:r>
              <w:t>41,670</w:t>
            </w:r>
          </w:p>
        </w:tc>
      </w:tr>
      <w:tr w:rsidR="00E47447" w:rsidRPr="007775EC" w:rsidTr="00891363">
        <w:trPr>
          <w:trHeight w:val="360"/>
          <w:jc w:val="center"/>
        </w:trPr>
        <w:tc>
          <w:tcPr>
            <w:tcW w:w="4287" w:type="dxa"/>
            <w:shd w:val="clear" w:color="auto" w:fill="auto"/>
            <w:vAlign w:val="center"/>
            <w:hideMark/>
          </w:tcPr>
          <w:p w:rsidR="00E47447" w:rsidRPr="00374A23" w:rsidRDefault="00E47447" w:rsidP="00661024">
            <w:pPr>
              <w:pStyle w:val="Tabletext"/>
              <w:rPr>
                <w:rStyle w:val="SubtleEmphasis"/>
              </w:rPr>
            </w:pPr>
            <w:r w:rsidRPr="00374A23">
              <w:rPr>
                <w:rStyle w:val="SubtleEmphasis"/>
              </w:rPr>
              <w:t>Required annual maintenance ($’000s)</w:t>
            </w:r>
          </w:p>
        </w:tc>
        <w:tc>
          <w:tcPr>
            <w:tcW w:w="1138" w:type="dxa"/>
            <w:shd w:val="clear" w:color="auto" w:fill="auto"/>
            <w:noWrap/>
            <w:vAlign w:val="bottom"/>
            <w:hideMark/>
          </w:tcPr>
          <w:p w:rsidR="00E47447" w:rsidRDefault="00E47447" w:rsidP="00E47447">
            <w:pPr>
              <w:pStyle w:val="TableNumbers"/>
            </w:pPr>
            <w:r>
              <w:t>9,886</w:t>
            </w:r>
          </w:p>
        </w:tc>
        <w:tc>
          <w:tcPr>
            <w:tcW w:w="1138" w:type="dxa"/>
            <w:shd w:val="clear" w:color="auto" w:fill="auto"/>
            <w:noWrap/>
            <w:vAlign w:val="bottom"/>
            <w:hideMark/>
          </w:tcPr>
          <w:p w:rsidR="00E47447" w:rsidRDefault="00E47447" w:rsidP="00E47447">
            <w:pPr>
              <w:pStyle w:val="TableNumbers"/>
            </w:pPr>
            <w:r>
              <w:t>9,011</w:t>
            </w:r>
          </w:p>
        </w:tc>
        <w:tc>
          <w:tcPr>
            <w:tcW w:w="1138" w:type="dxa"/>
            <w:vAlign w:val="bottom"/>
          </w:tcPr>
          <w:p w:rsidR="00E47447" w:rsidRDefault="00E47447" w:rsidP="00E47447">
            <w:pPr>
              <w:pStyle w:val="TableNumbers"/>
            </w:pPr>
            <w:r>
              <w:t>8,871</w:t>
            </w:r>
          </w:p>
        </w:tc>
        <w:tc>
          <w:tcPr>
            <w:tcW w:w="1138" w:type="dxa"/>
            <w:shd w:val="clear" w:color="auto" w:fill="auto"/>
            <w:noWrap/>
            <w:vAlign w:val="bottom"/>
            <w:hideMark/>
          </w:tcPr>
          <w:p w:rsidR="00E47447" w:rsidRDefault="00E47447" w:rsidP="00E47447">
            <w:pPr>
              <w:pStyle w:val="TableNumbers"/>
            </w:pPr>
            <w:r>
              <w:t>5,514</w:t>
            </w:r>
          </w:p>
        </w:tc>
      </w:tr>
      <w:tr w:rsidR="00E47447" w:rsidRPr="007775EC" w:rsidTr="00891363">
        <w:trPr>
          <w:trHeight w:val="360"/>
          <w:jc w:val="center"/>
        </w:trPr>
        <w:tc>
          <w:tcPr>
            <w:tcW w:w="4287" w:type="dxa"/>
            <w:shd w:val="clear" w:color="auto" w:fill="auto"/>
            <w:vAlign w:val="center"/>
            <w:hideMark/>
          </w:tcPr>
          <w:p w:rsidR="00E47447" w:rsidRPr="00374A23" w:rsidRDefault="00E47447" w:rsidP="00661024">
            <w:pPr>
              <w:pStyle w:val="Tabletext"/>
              <w:rPr>
                <w:rStyle w:val="SubtleEmphasis"/>
              </w:rPr>
            </w:pPr>
            <w:r w:rsidRPr="00374A23">
              <w:rPr>
                <w:rStyle w:val="SubtleEmphasis"/>
              </w:rPr>
              <w:t>Actual annual maintenance ($’000s)</w:t>
            </w:r>
          </w:p>
        </w:tc>
        <w:tc>
          <w:tcPr>
            <w:tcW w:w="1138" w:type="dxa"/>
            <w:shd w:val="clear" w:color="auto" w:fill="auto"/>
            <w:noWrap/>
            <w:vAlign w:val="bottom"/>
            <w:hideMark/>
          </w:tcPr>
          <w:p w:rsidR="00E47447" w:rsidRDefault="00E47447" w:rsidP="00E47447">
            <w:pPr>
              <w:pStyle w:val="TableNumbers"/>
            </w:pPr>
            <w:r>
              <w:t>6,692</w:t>
            </w:r>
          </w:p>
        </w:tc>
        <w:tc>
          <w:tcPr>
            <w:tcW w:w="1138" w:type="dxa"/>
            <w:shd w:val="clear" w:color="auto" w:fill="auto"/>
            <w:noWrap/>
            <w:vAlign w:val="bottom"/>
            <w:hideMark/>
          </w:tcPr>
          <w:p w:rsidR="00E47447" w:rsidRDefault="00E47447" w:rsidP="00E47447">
            <w:pPr>
              <w:pStyle w:val="TableNumbers"/>
            </w:pPr>
            <w:r>
              <w:t>5,711</w:t>
            </w:r>
          </w:p>
        </w:tc>
        <w:tc>
          <w:tcPr>
            <w:tcW w:w="1138" w:type="dxa"/>
            <w:vAlign w:val="bottom"/>
          </w:tcPr>
          <w:p w:rsidR="00E47447" w:rsidRDefault="00E47447" w:rsidP="00E47447">
            <w:pPr>
              <w:pStyle w:val="TableNumbers"/>
            </w:pPr>
            <w:r>
              <w:t>3,489</w:t>
            </w:r>
          </w:p>
        </w:tc>
        <w:tc>
          <w:tcPr>
            <w:tcW w:w="1138" w:type="dxa"/>
            <w:shd w:val="clear" w:color="auto" w:fill="auto"/>
            <w:noWrap/>
            <w:vAlign w:val="bottom"/>
            <w:hideMark/>
          </w:tcPr>
          <w:p w:rsidR="00E47447" w:rsidRDefault="00E47447" w:rsidP="00E47447">
            <w:pPr>
              <w:pStyle w:val="TableNumbers"/>
            </w:pPr>
            <w:r>
              <w:t>3,651</w:t>
            </w:r>
          </w:p>
        </w:tc>
      </w:tr>
      <w:tr w:rsidR="00E47447" w:rsidRPr="007775EC" w:rsidTr="00891363">
        <w:trPr>
          <w:trHeight w:val="360"/>
          <w:jc w:val="center"/>
        </w:trPr>
        <w:tc>
          <w:tcPr>
            <w:tcW w:w="4287" w:type="dxa"/>
            <w:shd w:val="clear" w:color="auto" w:fill="auto"/>
            <w:vAlign w:val="center"/>
            <w:hideMark/>
          </w:tcPr>
          <w:p w:rsidR="00E47447" w:rsidRPr="00374A23" w:rsidRDefault="00E47447" w:rsidP="00F16432">
            <w:pPr>
              <w:pStyle w:val="Tabletext"/>
              <w:rPr>
                <w:rStyle w:val="SubtleEmphasis"/>
              </w:rPr>
            </w:pPr>
            <w:r>
              <w:rPr>
                <w:rStyle w:val="SubtleEmphasis"/>
              </w:rPr>
              <w:t>Total v</w:t>
            </w:r>
            <w:r w:rsidRPr="00374A23">
              <w:rPr>
                <w:rStyle w:val="SubtleEmphasis"/>
              </w:rPr>
              <w:t xml:space="preserve">alue </w:t>
            </w:r>
            <w:r>
              <w:rPr>
                <w:rStyle w:val="SubtleEmphasis"/>
              </w:rPr>
              <w:t>of infrastructure assets ($’000</w:t>
            </w:r>
            <w:r w:rsidRPr="00374A23">
              <w:rPr>
                <w:rStyle w:val="SubtleEmphasis"/>
              </w:rPr>
              <w:t>s)</w:t>
            </w:r>
          </w:p>
        </w:tc>
        <w:tc>
          <w:tcPr>
            <w:tcW w:w="1138" w:type="dxa"/>
            <w:shd w:val="clear" w:color="auto" w:fill="auto"/>
            <w:noWrap/>
            <w:vAlign w:val="bottom"/>
            <w:hideMark/>
          </w:tcPr>
          <w:p w:rsidR="00E47447" w:rsidRDefault="00E47447" w:rsidP="00E47447">
            <w:pPr>
              <w:pStyle w:val="TableNumbers"/>
            </w:pPr>
            <w:r>
              <w:t>162,639</w:t>
            </w:r>
          </w:p>
        </w:tc>
        <w:tc>
          <w:tcPr>
            <w:tcW w:w="1138" w:type="dxa"/>
            <w:shd w:val="clear" w:color="auto" w:fill="auto"/>
            <w:noWrap/>
            <w:vAlign w:val="bottom"/>
            <w:hideMark/>
          </w:tcPr>
          <w:p w:rsidR="00E47447" w:rsidRDefault="00E47447" w:rsidP="00E47447">
            <w:pPr>
              <w:pStyle w:val="TableNumbers"/>
            </w:pPr>
            <w:r>
              <w:t>171,953</w:t>
            </w:r>
          </w:p>
        </w:tc>
        <w:tc>
          <w:tcPr>
            <w:tcW w:w="1138" w:type="dxa"/>
            <w:vAlign w:val="bottom"/>
          </w:tcPr>
          <w:p w:rsidR="00E47447" w:rsidRDefault="00E47447" w:rsidP="00E47447">
            <w:pPr>
              <w:pStyle w:val="TableNumbers"/>
            </w:pPr>
            <w:r>
              <w:t>168,952</w:t>
            </w:r>
          </w:p>
        </w:tc>
        <w:tc>
          <w:tcPr>
            <w:tcW w:w="1138" w:type="dxa"/>
            <w:shd w:val="clear" w:color="auto" w:fill="auto"/>
            <w:noWrap/>
            <w:vAlign w:val="bottom"/>
            <w:hideMark/>
          </w:tcPr>
          <w:p w:rsidR="00E47447" w:rsidRDefault="001E4B5D" w:rsidP="00E47447">
            <w:pPr>
              <w:pStyle w:val="TableNumbers"/>
            </w:pPr>
            <w:r>
              <w:t>161,820</w:t>
            </w:r>
          </w:p>
        </w:tc>
      </w:tr>
      <w:tr w:rsidR="00E47447" w:rsidRPr="007775EC" w:rsidTr="00891363">
        <w:trPr>
          <w:trHeight w:val="360"/>
          <w:jc w:val="center"/>
        </w:trPr>
        <w:tc>
          <w:tcPr>
            <w:tcW w:w="4287" w:type="dxa"/>
            <w:shd w:val="clear" w:color="auto" w:fill="auto"/>
            <w:noWrap/>
            <w:vAlign w:val="center"/>
            <w:hideMark/>
          </w:tcPr>
          <w:p w:rsidR="00E47447" w:rsidRPr="00374A23" w:rsidRDefault="00E47447" w:rsidP="00661024">
            <w:pPr>
              <w:pStyle w:val="Tabletext"/>
              <w:rPr>
                <w:rStyle w:val="SubtleEmphasis"/>
              </w:rPr>
            </w:pPr>
            <w:r w:rsidRPr="00374A23">
              <w:rPr>
                <w:rStyle w:val="SubtleEmphasis"/>
              </w:rPr>
              <w:t>Total assets ($’000s)</w:t>
            </w:r>
          </w:p>
        </w:tc>
        <w:tc>
          <w:tcPr>
            <w:tcW w:w="1138" w:type="dxa"/>
            <w:shd w:val="clear" w:color="auto" w:fill="auto"/>
            <w:noWrap/>
            <w:vAlign w:val="bottom"/>
            <w:hideMark/>
          </w:tcPr>
          <w:p w:rsidR="00E47447" w:rsidRDefault="00E47447" w:rsidP="00E47447">
            <w:pPr>
              <w:pStyle w:val="TableNumbers"/>
            </w:pPr>
            <w:r>
              <w:t>210,881</w:t>
            </w:r>
          </w:p>
        </w:tc>
        <w:tc>
          <w:tcPr>
            <w:tcW w:w="1138" w:type="dxa"/>
            <w:shd w:val="clear" w:color="auto" w:fill="auto"/>
            <w:noWrap/>
            <w:vAlign w:val="bottom"/>
            <w:hideMark/>
          </w:tcPr>
          <w:p w:rsidR="00E47447" w:rsidRDefault="00E47447" w:rsidP="00E47447">
            <w:pPr>
              <w:pStyle w:val="TableNumbers"/>
            </w:pPr>
            <w:r>
              <w:t>212,243</w:t>
            </w:r>
          </w:p>
        </w:tc>
        <w:tc>
          <w:tcPr>
            <w:tcW w:w="1138" w:type="dxa"/>
            <w:vAlign w:val="bottom"/>
          </w:tcPr>
          <w:p w:rsidR="00E47447" w:rsidRDefault="00E47447" w:rsidP="00E47447">
            <w:pPr>
              <w:pStyle w:val="TableNumbers"/>
            </w:pPr>
            <w:r>
              <w:t>197,904</w:t>
            </w:r>
          </w:p>
        </w:tc>
        <w:tc>
          <w:tcPr>
            <w:tcW w:w="1138" w:type="dxa"/>
            <w:shd w:val="clear" w:color="auto" w:fill="auto"/>
            <w:noWrap/>
            <w:vAlign w:val="bottom"/>
            <w:hideMark/>
          </w:tcPr>
          <w:p w:rsidR="00E47447" w:rsidRDefault="00E47447" w:rsidP="00E47447">
            <w:pPr>
              <w:pStyle w:val="TableNumbers"/>
            </w:pPr>
            <w:r>
              <w:t>186,781</w:t>
            </w:r>
          </w:p>
        </w:tc>
      </w:tr>
      <w:tr w:rsidR="00E47447" w:rsidRPr="007775EC" w:rsidTr="00891363">
        <w:trPr>
          <w:trHeight w:val="360"/>
          <w:jc w:val="center"/>
        </w:trPr>
        <w:tc>
          <w:tcPr>
            <w:tcW w:w="4287" w:type="dxa"/>
            <w:shd w:val="clear" w:color="auto" w:fill="auto"/>
            <w:noWrap/>
            <w:vAlign w:val="center"/>
            <w:hideMark/>
          </w:tcPr>
          <w:p w:rsidR="00E47447" w:rsidRPr="002C37F9" w:rsidRDefault="00E47447" w:rsidP="00661024">
            <w:pPr>
              <w:pStyle w:val="Tabletext"/>
              <w:rPr>
                <w:rStyle w:val="SubtleEmphasis"/>
              </w:rPr>
            </w:pPr>
            <w:r>
              <w:rPr>
                <w:rStyle w:val="SubtleEmphasis"/>
              </w:rPr>
              <w:t xml:space="preserve">Building and </w:t>
            </w:r>
            <w:r w:rsidRPr="002C37F9">
              <w:rPr>
                <w:rStyle w:val="SubtleEmphasis"/>
              </w:rPr>
              <w:t>Infrastructure Backlog Ratio</w:t>
            </w:r>
          </w:p>
        </w:tc>
        <w:tc>
          <w:tcPr>
            <w:tcW w:w="1138" w:type="dxa"/>
            <w:shd w:val="clear" w:color="auto" w:fill="auto"/>
            <w:noWrap/>
            <w:vAlign w:val="bottom"/>
            <w:hideMark/>
          </w:tcPr>
          <w:p w:rsidR="00E47447" w:rsidRDefault="00E47447" w:rsidP="00E47447">
            <w:pPr>
              <w:pStyle w:val="TableNumbers"/>
            </w:pPr>
            <w:r>
              <w:t>0.33x</w:t>
            </w:r>
          </w:p>
        </w:tc>
        <w:tc>
          <w:tcPr>
            <w:tcW w:w="1138" w:type="dxa"/>
            <w:shd w:val="clear" w:color="auto" w:fill="auto"/>
            <w:noWrap/>
            <w:vAlign w:val="bottom"/>
            <w:hideMark/>
          </w:tcPr>
          <w:p w:rsidR="00E47447" w:rsidRDefault="00E47447" w:rsidP="00E47447">
            <w:pPr>
              <w:pStyle w:val="TableNumbers"/>
            </w:pPr>
            <w:r>
              <w:t>0.29x</w:t>
            </w:r>
          </w:p>
        </w:tc>
        <w:tc>
          <w:tcPr>
            <w:tcW w:w="1138" w:type="dxa"/>
            <w:vAlign w:val="bottom"/>
          </w:tcPr>
          <w:p w:rsidR="00E47447" w:rsidRDefault="00E47447" w:rsidP="00E47447">
            <w:pPr>
              <w:pStyle w:val="TableNumbers"/>
            </w:pPr>
            <w:r>
              <w:t>0.28x</w:t>
            </w:r>
          </w:p>
        </w:tc>
        <w:tc>
          <w:tcPr>
            <w:tcW w:w="1138" w:type="dxa"/>
            <w:shd w:val="clear" w:color="auto" w:fill="auto"/>
            <w:noWrap/>
            <w:vAlign w:val="bottom"/>
            <w:hideMark/>
          </w:tcPr>
          <w:p w:rsidR="00E47447" w:rsidRDefault="001E4B5D" w:rsidP="00E47447">
            <w:pPr>
              <w:pStyle w:val="TableNumbers"/>
            </w:pPr>
            <w:r>
              <w:t>0.26</w:t>
            </w:r>
            <w:r w:rsidR="00E47447">
              <w:t>x</w:t>
            </w:r>
          </w:p>
        </w:tc>
      </w:tr>
      <w:tr w:rsidR="00E47447" w:rsidRPr="007775EC" w:rsidTr="00891363">
        <w:trPr>
          <w:trHeight w:val="360"/>
          <w:jc w:val="center"/>
        </w:trPr>
        <w:tc>
          <w:tcPr>
            <w:tcW w:w="4287" w:type="dxa"/>
            <w:shd w:val="clear" w:color="auto" w:fill="auto"/>
            <w:vAlign w:val="center"/>
            <w:hideMark/>
          </w:tcPr>
          <w:p w:rsidR="00E47447" w:rsidRPr="002C37F9" w:rsidRDefault="00E47447" w:rsidP="00661024">
            <w:pPr>
              <w:pStyle w:val="Tabletext"/>
              <w:rPr>
                <w:rStyle w:val="SubtleEmphasis"/>
              </w:rPr>
            </w:pPr>
            <w:r w:rsidRPr="002C37F9">
              <w:rPr>
                <w:rStyle w:val="SubtleEmphasis"/>
              </w:rPr>
              <w:t>Asset Maintenance Ratio</w:t>
            </w:r>
          </w:p>
        </w:tc>
        <w:tc>
          <w:tcPr>
            <w:tcW w:w="1138" w:type="dxa"/>
            <w:shd w:val="clear" w:color="auto" w:fill="auto"/>
            <w:noWrap/>
            <w:vAlign w:val="bottom"/>
            <w:hideMark/>
          </w:tcPr>
          <w:p w:rsidR="00E47447" w:rsidRDefault="00E47447" w:rsidP="00E47447">
            <w:pPr>
              <w:pStyle w:val="TableNumbers"/>
            </w:pPr>
            <w:r>
              <w:t>0.68x</w:t>
            </w:r>
          </w:p>
        </w:tc>
        <w:tc>
          <w:tcPr>
            <w:tcW w:w="1138" w:type="dxa"/>
            <w:shd w:val="clear" w:color="auto" w:fill="auto"/>
            <w:noWrap/>
            <w:vAlign w:val="bottom"/>
            <w:hideMark/>
          </w:tcPr>
          <w:p w:rsidR="00E47447" w:rsidRDefault="00E47447" w:rsidP="00E47447">
            <w:pPr>
              <w:pStyle w:val="TableNumbers"/>
            </w:pPr>
            <w:r>
              <w:t>0.63x</w:t>
            </w:r>
          </w:p>
        </w:tc>
        <w:tc>
          <w:tcPr>
            <w:tcW w:w="1138" w:type="dxa"/>
            <w:vAlign w:val="bottom"/>
          </w:tcPr>
          <w:p w:rsidR="00E47447" w:rsidRDefault="00E47447" w:rsidP="00E47447">
            <w:pPr>
              <w:pStyle w:val="TableNumbers"/>
            </w:pPr>
            <w:r>
              <w:t>0.39x</w:t>
            </w:r>
          </w:p>
        </w:tc>
        <w:tc>
          <w:tcPr>
            <w:tcW w:w="1138" w:type="dxa"/>
            <w:shd w:val="clear" w:color="auto" w:fill="auto"/>
            <w:noWrap/>
            <w:vAlign w:val="bottom"/>
            <w:hideMark/>
          </w:tcPr>
          <w:p w:rsidR="00E47447" w:rsidRDefault="00E47447" w:rsidP="00E47447">
            <w:pPr>
              <w:pStyle w:val="TableNumbers"/>
            </w:pPr>
            <w:r>
              <w:t>0.66x</w:t>
            </w:r>
          </w:p>
        </w:tc>
      </w:tr>
      <w:tr w:rsidR="00E47447" w:rsidRPr="007775EC" w:rsidTr="00891363">
        <w:trPr>
          <w:trHeight w:val="360"/>
          <w:jc w:val="center"/>
        </w:trPr>
        <w:tc>
          <w:tcPr>
            <w:tcW w:w="4287" w:type="dxa"/>
            <w:shd w:val="clear" w:color="auto" w:fill="auto"/>
            <w:vAlign w:val="center"/>
            <w:hideMark/>
          </w:tcPr>
          <w:p w:rsidR="00E47447" w:rsidRPr="002C37F9" w:rsidRDefault="00E47447" w:rsidP="00661024">
            <w:pPr>
              <w:pStyle w:val="Tabletext"/>
              <w:rPr>
                <w:rStyle w:val="SubtleEmphasis"/>
              </w:rPr>
            </w:pPr>
            <w:r w:rsidRPr="002C37F9">
              <w:rPr>
                <w:rStyle w:val="SubtleEmphasis"/>
              </w:rPr>
              <w:t>Building and Infrastructure Renewals Ratio</w:t>
            </w:r>
          </w:p>
        </w:tc>
        <w:tc>
          <w:tcPr>
            <w:tcW w:w="1138" w:type="dxa"/>
            <w:shd w:val="clear" w:color="auto" w:fill="auto"/>
            <w:noWrap/>
            <w:vAlign w:val="bottom"/>
            <w:hideMark/>
          </w:tcPr>
          <w:p w:rsidR="00E47447" w:rsidRDefault="00E47447" w:rsidP="00E47447">
            <w:pPr>
              <w:pStyle w:val="TableNumbers"/>
            </w:pPr>
            <w:r>
              <w:t>0.35x</w:t>
            </w:r>
          </w:p>
        </w:tc>
        <w:tc>
          <w:tcPr>
            <w:tcW w:w="1138" w:type="dxa"/>
            <w:shd w:val="clear" w:color="auto" w:fill="auto"/>
            <w:noWrap/>
            <w:vAlign w:val="bottom"/>
            <w:hideMark/>
          </w:tcPr>
          <w:p w:rsidR="00E47447" w:rsidRDefault="00E47447" w:rsidP="00E47447">
            <w:pPr>
              <w:pStyle w:val="TableNumbers"/>
            </w:pPr>
            <w:r>
              <w:t>0.52x</w:t>
            </w:r>
          </w:p>
        </w:tc>
        <w:tc>
          <w:tcPr>
            <w:tcW w:w="1138" w:type="dxa"/>
            <w:vAlign w:val="bottom"/>
          </w:tcPr>
          <w:p w:rsidR="00E47447" w:rsidRDefault="00E47447" w:rsidP="00E47447">
            <w:pPr>
              <w:pStyle w:val="TableNumbers"/>
            </w:pPr>
            <w:r>
              <w:t>0.43x</w:t>
            </w:r>
          </w:p>
        </w:tc>
        <w:tc>
          <w:tcPr>
            <w:tcW w:w="1138" w:type="dxa"/>
            <w:shd w:val="clear" w:color="auto" w:fill="auto"/>
            <w:noWrap/>
            <w:vAlign w:val="bottom"/>
            <w:hideMark/>
          </w:tcPr>
          <w:p w:rsidR="00E47447" w:rsidRDefault="00E47447" w:rsidP="00E47447">
            <w:pPr>
              <w:pStyle w:val="TableNumbers"/>
            </w:pPr>
            <w:r>
              <w:t>0.63x</w:t>
            </w:r>
          </w:p>
        </w:tc>
      </w:tr>
      <w:tr w:rsidR="00E47447" w:rsidRPr="007775EC" w:rsidTr="00891363">
        <w:trPr>
          <w:trHeight w:val="360"/>
          <w:jc w:val="center"/>
        </w:trPr>
        <w:tc>
          <w:tcPr>
            <w:tcW w:w="4287" w:type="dxa"/>
            <w:shd w:val="clear" w:color="auto" w:fill="auto"/>
            <w:vAlign w:val="center"/>
          </w:tcPr>
          <w:p w:rsidR="00E47447" w:rsidRPr="002C37F9" w:rsidRDefault="00E47447" w:rsidP="00661024">
            <w:pPr>
              <w:pStyle w:val="Tabletext"/>
              <w:rPr>
                <w:rStyle w:val="SubtleEmphasis"/>
              </w:rPr>
            </w:pPr>
            <w:r w:rsidRPr="002C37F9">
              <w:rPr>
                <w:rStyle w:val="SubtleEmphasis"/>
              </w:rPr>
              <w:t>Capital Expenditure Ratio</w:t>
            </w:r>
          </w:p>
        </w:tc>
        <w:tc>
          <w:tcPr>
            <w:tcW w:w="1138" w:type="dxa"/>
            <w:shd w:val="clear" w:color="auto" w:fill="auto"/>
            <w:noWrap/>
            <w:vAlign w:val="bottom"/>
          </w:tcPr>
          <w:p w:rsidR="00E47447" w:rsidRDefault="00E47447" w:rsidP="00E47447">
            <w:pPr>
              <w:pStyle w:val="TableNumbers"/>
            </w:pPr>
            <w:r>
              <w:t>0.58x</w:t>
            </w:r>
          </w:p>
        </w:tc>
        <w:tc>
          <w:tcPr>
            <w:tcW w:w="1138" w:type="dxa"/>
            <w:shd w:val="clear" w:color="auto" w:fill="auto"/>
            <w:noWrap/>
            <w:vAlign w:val="bottom"/>
          </w:tcPr>
          <w:p w:rsidR="00E47447" w:rsidRDefault="00E47447" w:rsidP="00E47447">
            <w:pPr>
              <w:pStyle w:val="TableNumbers"/>
            </w:pPr>
            <w:r>
              <w:t>0.95x</w:t>
            </w:r>
          </w:p>
        </w:tc>
        <w:tc>
          <w:tcPr>
            <w:tcW w:w="1138" w:type="dxa"/>
            <w:vAlign w:val="bottom"/>
          </w:tcPr>
          <w:p w:rsidR="00E47447" w:rsidRDefault="00E47447" w:rsidP="00E47447">
            <w:pPr>
              <w:pStyle w:val="TableNumbers"/>
            </w:pPr>
            <w:r>
              <w:t>0.68x</w:t>
            </w:r>
          </w:p>
        </w:tc>
        <w:tc>
          <w:tcPr>
            <w:tcW w:w="1138" w:type="dxa"/>
            <w:shd w:val="clear" w:color="auto" w:fill="auto"/>
            <w:noWrap/>
            <w:vAlign w:val="bottom"/>
          </w:tcPr>
          <w:p w:rsidR="00E47447" w:rsidRDefault="00E47447" w:rsidP="00E47447">
            <w:pPr>
              <w:pStyle w:val="TableNumbers"/>
            </w:pPr>
            <w:r>
              <w:t>0.56x</w:t>
            </w:r>
          </w:p>
        </w:tc>
      </w:tr>
    </w:tbl>
    <w:p w:rsidR="00E14467" w:rsidRDefault="00E14467" w:rsidP="00946D06">
      <w:r>
        <w:t>The Building and Infrastructure Backlog Ratio has been on an upward trend in line with the increased backlog each year.  At 0.33x in 2012 this is a significant figure that Council will find</w:t>
      </w:r>
      <w:r w:rsidR="002E0BC5">
        <w:t xml:space="preserve"> extremely difficult</w:t>
      </w:r>
      <w:r w:rsidR="003614DD">
        <w:t xml:space="preserve"> </w:t>
      </w:r>
      <w:r>
        <w:t>to reduce given their current</w:t>
      </w:r>
      <w:r w:rsidR="002E0BC5">
        <w:t xml:space="preserve"> and forecast</w:t>
      </w:r>
      <w:r>
        <w:t xml:space="preserve"> operating performance.</w:t>
      </w:r>
    </w:p>
    <w:p w:rsidR="00150FA5" w:rsidRPr="00893E42" w:rsidRDefault="00E14467" w:rsidP="00946D06">
      <w:r>
        <w:t xml:space="preserve">Each of the </w:t>
      </w:r>
      <w:r w:rsidRPr="002C37F9">
        <w:rPr>
          <w:rStyle w:val="SubtleEmphasis"/>
        </w:rPr>
        <w:t>Asset Maintenance Ratio</w:t>
      </w:r>
      <w:r>
        <w:rPr>
          <w:rStyle w:val="SubtleEmphasis"/>
        </w:rPr>
        <w:t xml:space="preserve">, </w:t>
      </w:r>
      <w:r w:rsidRPr="002C37F9">
        <w:rPr>
          <w:rStyle w:val="SubtleEmphasis"/>
        </w:rPr>
        <w:t>Building and Infrastructure Renewals Ratio</w:t>
      </w:r>
      <w:r>
        <w:rPr>
          <w:rStyle w:val="SubtleEmphasis"/>
        </w:rPr>
        <w:t xml:space="preserve"> and </w:t>
      </w:r>
      <w:r w:rsidRPr="002C37F9">
        <w:rPr>
          <w:rStyle w:val="SubtleEmphasis"/>
        </w:rPr>
        <w:t>Capital Expenditure Ratio</w:t>
      </w:r>
      <w:r>
        <w:rPr>
          <w:rStyle w:val="SubtleEmphasis"/>
        </w:rPr>
        <w:t xml:space="preserve"> have been below the benchmark in all four years highlighting the inability of Council to maintain, renew or expand their Net Asset position.</w:t>
      </w:r>
      <w:r w:rsidR="000C572D">
        <w:rPr>
          <w:rStyle w:val="SubtleEmphasis"/>
        </w:rPr>
        <w:t xml:space="preserve">  This is contributing to the asset base deteriorating below the satisfactory standard. </w:t>
      </w:r>
      <w:r>
        <w:rPr>
          <w:rStyle w:val="SubtleEmphasis"/>
        </w:rPr>
        <w:t xml:space="preserve"> </w:t>
      </w:r>
    </w:p>
    <w:p w:rsidR="00B96B71" w:rsidRDefault="00B96B71" w:rsidP="00B96B71">
      <w:pPr>
        <w:spacing w:line="276" w:lineRule="auto"/>
        <w:jc w:val="left"/>
        <w:rPr>
          <w:b/>
        </w:rPr>
      </w:pPr>
    </w:p>
    <w:p w:rsidR="000C572D" w:rsidRDefault="000C572D" w:rsidP="00B96B71">
      <w:pPr>
        <w:spacing w:line="276" w:lineRule="auto"/>
        <w:jc w:val="left"/>
        <w:rPr>
          <w:b/>
        </w:rPr>
      </w:pPr>
    </w:p>
    <w:p w:rsidR="000C572D" w:rsidRDefault="000C572D" w:rsidP="00B96B71">
      <w:pPr>
        <w:spacing w:line="276" w:lineRule="auto"/>
        <w:jc w:val="left"/>
        <w:rPr>
          <w:b/>
        </w:rPr>
      </w:pPr>
    </w:p>
    <w:p w:rsidR="000C572D" w:rsidRDefault="000C572D" w:rsidP="00B96B71">
      <w:pPr>
        <w:spacing w:line="276" w:lineRule="auto"/>
        <w:jc w:val="left"/>
        <w:rPr>
          <w:b/>
        </w:rPr>
      </w:pPr>
    </w:p>
    <w:p w:rsidR="000C572D" w:rsidRDefault="000C572D" w:rsidP="00B96B71">
      <w:pPr>
        <w:spacing w:line="276" w:lineRule="auto"/>
        <w:jc w:val="left"/>
        <w:rPr>
          <w:b/>
        </w:rPr>
      </w:pPr>
    </w:p>
    <w:p w:rsidR="000C572D" w:rsidRDefault="000C572D" w:rsidP="00B96B71">
      <w:pPr>
        <w:spacing w:line="276" w:lineRule="auto"/>
        <w:jc w:val="left"/>
        <w:rPr>
          <w:b/>
        </w:rPr>
      </w:pPr>
    </w:p>
    <w:p w:rsidR="000C572D" w:rsidRDefault="000C572D" w:rsidP="00B96B71">
      <w:pPr>
        <w:spacing w:line="276" w:lineRule="auto"/>
        <w:jc w:val="left"/>
        <w:rPr>
          <w:b/>
        </w:rPr>
      </w:pPr>
    </w:p>
    <w:p w:rsidR="00922B8E" w:rsidRDefault="00922B8E" w:rsidP="00B96B71">
      <w:pPr>
        <w:spacing w:line="276" w:lineRule="auto"/>
        <w:jc w:val="left"/>
        <w:rPr>
          <w:b/>
        </w:rPr>
      </w:pPr>
    </w:p>
    <w:p w:rsidR="00922B8E" w:rsidRDefault="00922B8E" w:rsidP="00B96B71">
      <w:pPr>
        <w:spacing w:line="276" w:lineRule="auto"/>
        <w:jc w:val="left"/>
        <w:rPr>
          <w:b/>
        </w:rPr>
      </w:pPr>
    </w:p>
    <w:p w:rsidR="000C572D" w:rsidRDefault="000C572D" w:rsidP="00B96B71">
      <w:pPr>
        <w:spacing w:line="276" w:lineRule="auto"/>
        <w:jc w:val="left"/>
        <w:rPr>
          <w:b/>
        </w:rPr>
      </w:pPr>
    </w:p>
    <w:p w:rsidR="00B96B71" w:rsidRPr="00893E42" w:rsidRDefault="00B96B71" w:rsidP="00893E42">
      <w:pPr>
        <w:pStyle w:val="Heading2"/>
        <w:spacing w:before="220" w:after="220" w:line="280" w:lineRule="exact"/>
      </w:pPr>
      <w:bookmarkStart w:id="51" w:name="_Toc330544289"/>
      <w:bookmarkStart w:id="52" w:name="_Toc330915494"/>
      <w:bookmarkStart w:id="53" w:name="_Toc334702518"/>
      <w:r w:rsidRPr="00893E42">
        <w:lastRenderedPageBreak/>
        <w:t>3.6(c):</w:t>
      </w:r>
      <w:r>
        <w:tab/>
      </w:r>
      <w:r w:rsidRPr="00893E42">
        <w:t>Capital Program</w:t>
      </w:r>
      <w:bookmarkEnd w:id="51"/>
      <w:bookmarkEnd w:id="52"/>
      <w:bookmarkEnd w:id="53"/>
    </w:p>
    <w:p w:rsidR="00B544A5" w:rsidRDefault="00B544A5" w:rsidP="00946D06">
      <w:r>
        <w:t>Council’s capital works program in 2011 and 2012 included:</w:t>
      </w:r>
    </w:p>
    <w:p w:rsidR="00B544A5" w:rsidRDefault="00B544A5" w:rsidP="00B544A5">
      <w:pPr>
        <w:pStyle w:val="ListParagraph"/>
        <w:numPr>
          <w:ilvl w:val="0"/>
          <w:numId w:val="5"/>
        </w:numPr>
      </w:pPr>
      <w:r>
        <w:t>$5.7m spent on road replacements and upgrades</w:t>
      </w:r>
    </w:p>
    <w:p w:rsidR="00A41273" w:rsidRDefault="00A41273" w:rsidP="00B544A5">
      <w:pPr>
        <w:pStyle w:val="ListParagraph"/>
        <w:numPr>
          <w:ilvl w:val="0"/>
          <w:numId w:val="5"/>
        </w:numPr>
      </w:pPr>
      <w:r>
        <w:t>$3.8m spent on water suppl</w:t>
      </w:r>
      <w:r w:rsidR="001A51AE">
        <w:t>y upgrades including Bingara water treatment plant and r</w:t>
      </w:r>
      <w:r>
        <w:t xml:space="preserve">eservoir </w:t>
      </w:r>
    </w:p>
    <w:p w:rsidR="00B544A5" w:rsidRDefault="00B544A5" w:rsidP="00B544A5">
      <w:pPr>
        <w:pStyle w:val="ListParagraph"/>
        <w:numPr>
          <w:ilvl w:val="0"/>
          <w:numId w:val="5"/>
        </w:numPr>
      </w:pPr>
      <w:r>
        <w:t>$2.2m spent on three new trade training centres</w:t>
      </w:r>
    </w:p>
    <w:p w:rsidR="00B544A5" w:rsidRDefault="00B544A5" w:rsidP="00B544A5">
      <w:pPr>
        <w:pStyle w:val="ListParagraph"/>
        <w:numPr>
          <w:ilvl w:val="0"/>
          <w:numId w:val="5"/>
        </w:numPr>
      </w:pPr>
      <w:r>
        <w:t>$0.3m on sewerage infrastructure replacements and upgrades</w:t>
      </w:r>
    </w:p>
    <w:p w:rsidR="001A51AE" w:rsidRDefault="001A51AE" w:rsidP="00893E42">
      <w:pPr>
        <w:pStyle w:val="Heading2"/>
        <w:spacing w:before="220" w:after="220" w:line="280" w:lineRule="exact"/>
      </w:pPr>
      <w:bookmarkStart w:id="54" w:name="_Toc330915495"/>
      <w:bookmarkStart w:id="55" w:name="_Toc334702519"/>
    </w:p>
    <w:p w:rsidR="00B96B71" w:rsidRPr="00703145" w:rsidRDefault="00B96B71" w:rsidP="00893E42">
      <w:pPr>
        <w:pStyle w:val="Heading2"/>
        <w:spacing w:before="220" w:after="220" w:line="280" w:lineRule="exact"/>
      </w:pPr>
      <w:r w:rsidRPr="00703145">
        <w:t>3.7:</w:t>
      </w:r>
      <w:r w:rsidRPr="00703145">
        <w:tab/>
        <w:t>Specific Risks to Council</w:t>
      </w:r>
      <w:bookmarkEnd w:id="54"/>
      <w:bookmarkEnd w:id="55"/>
    </w:p>
    <w:p w:rsidR="000844B8" w:rsidRDefault="000844B8" w:rsidP="00893E42">
      <w:pPr>
        <w:pStyle w:val="Subtitle"/>
        <w:ind w:left="714" w:hanging="357"/>
      </w:pPr>
      <w:r>
        <w:t>Small population.  With</w:t>
      </w:r>
      <w:r w:rsidR="00DB33D9">
        <w:t xml:space="preserve"> an </w:t>
      </w:r>
      <w:r w:rsidR="007602D4">
        <w:t>approximate</w:t>
      </w:r>
      <w:r w:rsidR="00DB33D9">
        <w:t xml:space="preserve"> population of</w:t>
      </w:r>
      <w:r w:rsidR="007602D4">
        <w:t xml:space="preserve"> 5,000 within the community, spread over a relatively large geographical area, Council have to manage a large proportion of infrastructure assets </w:t>
      </w:r>
      <w:r w:rsidR="00DB33D9">
        <w:t xml:space="preserve">while receiving </w:t>
      </w:r>
      <w:r w:rsidR="007602D4">
        <w:t xml:space="preserve">a low </w:t>
      </w:r>
      <w:r w:rsidR="00B16BB0">
        <w:t>level</w:t>
      </w:r>
      <w:r w:rsidR="00DB33D9">
        <w:t xml:space="preserve"> of </w:t>
      </w:r>
      <w:r w:rsidR="007602D4">
        <w:t xml:space="preserve">annual rates revenue.  This provides additional financial pressure on Council as the costs to maintain the asset base </w:t>
      </w:r>
      <w:r w:rsidR="00CB59B2">
        <w:t>are not sufficiently covered from Council’s own source operating revenue</w:t>
      </w:r>
      <w:r w:rsidR="009A6576">
        <w:t>s.</w:t>
      </w:r>
    </w:p>
    <w:p w:rsidR="00C144B7" w:rsidRDefault="00DB33D9" w:rsidP="00DB33D9">
      <w:pPr>
        <w:pStyle w:val="Subtitle"/>
      </w:pPr>
      <w:r>
        <w:t>Declining population</w:t>
      </w:r>
      <w:r w:rsidR="00C9337F">
        <w:t>.  The population has been on a downward trend over the last 10 years and this is forecast to continue across the next 20 years.  The declining population is in line with the general trend of both neighbouring LGAs Narrabri and Moree Plains.</w:t>
      </w:r>
      <w:r>
        <w:t xml:space="preserve">  Young people are leaving the area for education and employment opportunities. This leads to a trend of declining population and flow on effect </w:t>
      </w:r>
      <w:r w:rsidR="00E43953">
        <w:t xml:space="preserve">to the local economy.  </w:t>
      </w:r>
    </w:p>
    <w:p w:rsidR="00DB33D9" w:rsidRPr="00DB33D9" w:rsidRDefault="00C144B7" w:rsidP="007F466F">
      <w:pPr>
        <w:pStyle w:val="Subtitle"/>
      </w:pPr>
      <w:r>
        <w:t>Ageing workforce.  Over 56% of Council’s employees are over 45</w:t>
      </w:r>
      <w:r w:rsidR="00135DD8">
        <w:t>.  At the same time 35% of employees</w:t>
      </w:r>
      <w:r w:rsidR="00C83CD9">
        <w:t xml:space="preserve"> have been employed for under three years.  Council therefore needs to manage the ageing of the workforce with the ongoing skills development of the newer employees.  </w:t>
      </w:r>
      <w:r w:rsidR="00E43953">
        <w:t>Council</w:t>
      </w:r>
      <w:r w:rsidR="00DB33D9">
        <w:t xml:space="preserve"> is providing traineeship and apprenticeship opportunities to provide training and employment, </w:t>
      </w:r>
      <w:r w:rsidR="00D57657">
        <w:t xml:space="preserve">specifically in areas where older staff are </w:t>
      </w:r>
      <w:r w:rsidR="00C83CD9">
        <w:t>moving</w:t>
      </w:r>
      <w:r w:rsidR="00D57657">
        <w:t xml:space="preserve"> towards retirement</w:t>
      </w:r>
      <w:r w:rsidR="00DB33D9">
        <w:t xml:space="preserve">.  </w:t>
      </w:r>
    </w:p>
    <w:p w:rsidR="007F466F" w:rsidRPr="007F466F" w:rsidRDefault="007F466F" w:rsidP="007F466F">
      <w:pPr>
        <w:pStyle w:val="Subtitle"/>
      </w:pPr>
      <w:r>
        <w:t>Inability to reduce Infrastructure Backlog.  With Council unable to achieve an operating surplus at current service levels it leaves insufficient funds available for asset renewals and maintenance.</w:t>
      </w:r>
      <w:r w:rsidR="00E43953">
        <w:t xml:space="preserve">  Council is aware of this issue and have ruled out the possibility of an SRV as it will not be supported by the community and will not provide sufficient funds to make a worthwhile impact to the backlog total.  It therefore appears that service levels will need to be reduced unless additional grant funding can be raised.  In this regard Council has been a key stakeholder</w:t>
      </w:r>
      <w:r>
        <w:t xml:space="preserve"> </w:t>
      </w:r>
      <w:r w:rsidR="00E43953">
        <w:t xml:space="preserve">in the </w:t>
      </w:r>
      <w:r w:rsidR="00D57657">
        <w:t>founding of the Australian Rural Roads Group</w:t>
      </w:r>
      <w:r w:rsidR="004F1EB7">
        <w:t xml:space="preserve"> (ARRG)</w:t>
      </w:r>
      <w:r w:rsidR="00D57657">
        <w:t xml:space="preserve"> that includes approximately 100 Councils nationally, with the focus of lobbying for additional State and </w:t>
      </w:r>
      <w:r w:rsidR="00837D75">
        <w:t>Federal Government</w:t>
      </w:r>
      <w:r w:rsidR="00D57657">
        <w:t xml:space="preserve"> grant funding to assist with the maintenance and renewal of the rural roads.  These roads support the rural communities and businesses that provide </w:t>
      </w:r>
      <w:r w:rsidR="002E0BC5">
        <w:t xml:space="preserve">nearly </w:t>
      </w:r>
      <w:r w:rsidR="00D57657">
        <w:t>50% of Australia’s total agricultural output and 24% of Australia’s roads by length.</w:t>
      </w:r>
    </w:p>
    <w:p w:rsidR="009A6576" w:rsidRDefault="007F466F" w:rsidP="009A6576">
      <w:pPr>
        <w:pStyle w:val="Subtitle"/>
      </w:pPr>
      <w:r>
        <w:t>Underfunded operational programs.  On top of the capital programs having to be amended and reduced due to a lack of funding, Council also does not have the financial capacity to fully fund all operational programs, highlighting the inability of Council</w:t>
      </w:r>
      <w:r w:rsidR="00AE0472">
        <w:t xml:space="preserve"> to continue </w:t>
      </w:r>
      <w:r w:rsidR="00871CED">
        <w:t>with the same level of service</w:t>
      </w:r>
      <w:r w:rsidR="00AE0472">
        <w:t>.</w:t>
      </w:r>
    </w:p>
    <w:p w:rsidR="00AE0472" w:rsidRDefault="00AE0472" w:rsidP="00AE0472">
      <w:pPr>
        <w:pStyle w:val="Subtitle"/>
      </w:pPr>
      <w:r>
        <w:t xml:space="preserve">Natural disasters.  The LGA has been declared a natural disaster area twice in the past 13 months, due to flooding.  This vulnerability </w:t>
      </w:r>
      <w:r w:rsidR="004E0C4B">
        <w:t xml:space="preserve">to environmental disasters </w:t>
      </w:r>
      <w:r>
        <w:t>is another factor that impacts Council</w:t>
      </w:r>
      <w:r w:rsidR="00C83CD9">
        <w:t xml:space="preserve">’s ability to maintain the affected infrastructure to a satisfactory standard. </w:t>
      </w:r>
      <w:r>
        <w:t xml:space="preserve"> </w:t>
      </w:r>
    </w:p>
    <w:p w:rsidR="00150FA5" w:rsidRDefault="00150FA5" w:rsidP="00C83CD9">
      <w:pPr>
        <w:pStyle w:val="Subtitle"/>
        <w:numPr>
          <w:ilvl w:val="0"/>
          <w:numId w:val="0"/>
        </w:numPr>
        <w:ind w:left="714"/>
      </w:pPr>
    </w:p>
    <w:p w:rsidR="00B96B71" w:rsidRPr="00893E42" w:rsidRDefault="00B96B71" w:rsidP="005672E3">
      <w:pPr>
        <w:pStyle w:val="Heading1"/>
      </w:pPr>
      <w:bookmarkStart w:id="56" w:name="_Toc330915496"/>
      <w:bookmarkStart w:id="57" w:name="_Toc334702520"/>
      <w:r>
        <w:lastRenderedPageBreak/>
        <w:t>Section 4</w:t>
      </w:r>
      <w:r w:rsidRPr="00701D01">
        <w:tab/>
      </w:r>
      <w:r w:rsidRPr="000306B7">
        <w:t>Review of Financial Forecasts</w:t>
      </w:r>
      <w:bookmarkEnd w:id="56"/>
      <w:bookmarkEnd w:id="57"/>
    </w:p>
    <w:p w:rsidR="00B96B71" w:rsidRDefault="00B96B71" w:rsidP="00946D06">
      <w:r w:rsidRPr="00893E42">
        <w:t xml:space="preserve">The financial </w:t>
      </w:r>
      <w:r w:rsidR="00F731AC">
        <w:t xml:space="preserve">forecast </w:t>
      </w:r>
      <w:r w:rsidRPr="00893E42">
        <w:t xml:space="preserve">model shows the projected financial statements and assumptions for the next 10 years.  </w:t>
      </w:r>
      <w:r w:rsidR="00371E8F">
        <w:t>W</w:t>
      </w:r>
      <w:r w:rsidRPr="00893E42">
        <w:t>e have focused our financial analysis upon th</w:t>
      </w:r>
      <w:r w:rsidR="00371E8F">
        <w:t>e General</w:t>
      </w:r>
      <w:r w:rsidRPr="00893E42">
        <w:t xml:space="preserve"> Fund</w:t>
      </w:r>
      <w:r w:rsidR="00110CEA">
        <w:t xml:space="preserve"> as although</w:t>
      </w:r>
      <w:r w:rsidR="00371E8F">
        <w:t xml:space="preserve"> </w:t>
      </w:r>
      <w:r w:rsidRPr="00893E42">
        <w:t xml:space="preserve">Council’s consolidated position includes both a Water and Sewer Fund these are operated as independent entities, which unlike the General Fund are </w:t>
      </w:r>
      <w:r w:rsidR="002B0A7F">
        <w:t xml:space="preserve">more </w:t>
      </w:r>
      <w:r w:rsidRPr="00893E42">
        <w:t>able to adjust the appropriate fees and charges to meet all future ope</w:t>
      </w:r>
      <w:r w:rsidR="00150FA5" w:rsidRPr="00893E42">
        <w:t>rating and investing expenses.</w:t>
      </w:r>
    </w:p>
    <w:p w:rsidR="00B461ED" w:rsidRDefault="003963C3" w:rsidP="00946D06">
      <w:r>
        <w:t>This is the first version of Council’s LTFP and it is recognised that it will improve year by year as Council</w:t>
      </w:r>
      <w:r w:rsidR="002821DB">
        <w:t xml:space="preserve"> refine its projection methodology</w:t>
      </w:r>
      <w:r>
        <w:t xml:space="preserve">.  </w:t>
      </w:r>
      <w:r w:rsidR="00B461ED">
        <w:t xml:space="preserve">The LTFP forecast has been completed in real </w:t>
      </w:r>
      <w:r w:rsidR="005F717E">
        <w:t xml:space="preserve">dollar </w:t>
      </w:r>
      <w:r w:rsidR="00B461ED">
        <w:t>terms with the effects of inflation not included.</w:t>
      </w:r>
      <w:r w:rsidR="005F717E">
        <w:t xml:space="preserve">  The scenario analysed is the ‘</w:t>
      </w:r>
      <w:r w:rsidR="00D76761">
        <w:t>proposed’</w:t>
      </w:r>
      <w:r w:rsidR="005F717E">
        <w:t xml:space="preserve"> forecast that follows</w:t>
      </w:r>
      <w:r w:rsidR="00D76761">
        <w:t xml:space="preserve"> Council’s best estimate regarding expected outcomes.  There are three alternative scenarios – business as usual, best and worst case.</w:t>
      </w:r>
      <w:r w:rsidR="005F717E">
        <w:t xml:space="preserve"> </w:t>
      </w:r>
    </w:p>
    <w:p w:rsidR="00D76761" w:rsidRDefault="00D76761" w:rsidP="00946D06">
      <w:r>
        <w:t>The ‘proposed’ scenario has been adopted by Council as they</w:t>
      </w:r>
      <w:r w:rsidR="003963C3">
        <w:t xml:space="preserve"> hope to secure additional grant funding to assist the capital works program while utilising an additional $3.9m borrowings in 2013 to fund bridge </w:t>
      </w:r>
      <w:r w:rsidR="001612E7">
        <w:t xml:space="preserve">works </w:t>
      </w:r>
      <w:r w:rsidR="0028745C">
        <w:t xml:space="preserve">and the Naroo aged care facility </w:t>
      </w:r>
      <w:r w:rsidR="001A51AE">
        <w:t xml:space="preserve">upgrade </w:t>
      </w:r>
      <w:r w:rsidR="003963C3">
        <w:t xml:space="preserve">works.  </w:t>
      </w:r>
      <w:r w:rsidR="008C614C">
        <w:t>They recognise that changes will need to be made given the negative results indicated below.</w:t>
      </w:r>
      <w:r w:rsidR="0072617B">
        <w:t xml:space="preserve">  TCorp understands that in the event that the additional</w:t>
      </w:r>
      <w:r w:rsidR="002821DB">
        <w:t xml:space="preserve"> </w:t>
      </w:r>
      <w:r w:rsidR="003614DD">
        <w:t>borrowings are</w:t>
      </w:r>
      <w:r w:rsidR="0072617B">
        <w:t xml:space="preserve"> not secured, then Council will be unable to fund the bridge upgrade works (i</w:t>
      </w:r>
      <w:r w:rsidR="003614DD">
        <w:t>.</w:t>
      </w:r>
      <w:r w:rsidR="0072617B">
        <w:t>e</w:t>
      </w:r>
      <w:r w:rsidR="003614DD">
        <w:t>.</w:t>
      </w:r>
      <w:r w:rsidR="0072617B">
        <w:t xml:space="preserve"> revenues and expenses would</w:t>
      </w:r>
      <w:r w:rsidR="003F20A9">
        <w:t xml:space="preserve"> then both</w:t>
      </w:r>
      <w:r w:rsidR="0072617B">
        <w:t xml:space="preserve"> decrease</w:t>
      </w:r>
      <w:r w:rsidR="003F20A9">
        <w:t>)</w:t>
      </w:r>
      <w:r w:rsidR="0072617B">
        <w:t xml:space="preserve"> so that the overall net position of Council’s finances would remain relatively unchanged</w:t>
      </w:r>
      <w:r w:rsidR="003F20A9">
        <w:t xml:space="preserve"> from the forecasts shown.</w:t>
      </w:r>
    </w:p>
    <w:p w:rsidR="00B96B71" w:rsidRPr="00893E42" w:rsidRDefault="00B96B71" w:rsidP="00893E42">
      <w:pPr>
        <w:pStyle w:val="Heading2"/>
        <w:spacing w:before="220" w:after="220" w:line="280" w:lineRule="exact"/>
      </w:pPr>
      <w:bookmarkStart w:id="58" w:name="_Toc330915497"/>
      <w:bookmarkStart w:id="59" w:name="_Toc334702521"/>
      <w:r>
        <w:t>4.1</w:t>
      </w:r>
      <w:r w:rsidRPr="00D60017">
        <w:t>:</w:t>
      </w:r>
      <w:r>
        <w:tab/>
      </w:r>
      <w:r w:rsidR="00052A63">
        <w:t>Operating Results</w:t>
      </w:r>
      <w:bookmarkEnd w:id="58"/>
      <w:bookmarkEnd w:id="59"/>
    </w:p>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r w:rsidRPr="00A556D7">
        <w:rPr>
          <w:noProof/>
        </w:rPr>
        <w:drawing>
          <wp:anchor distT="0" distB="0" distL="114300" distR="114300" simplePos="0" relativeHeight="251666432" behindDoc="0" locked="0" layoutInCell="1" allowOverlap="1" wp14:anchorId="295B0684" wp14:editId="2415B785">
            <wp:simplePos x="0" y="0"/>
            <wp:positionH relativeFrom="column">
              <wp:posOffset>22225</wp:posOffset>
            </wp:positionH>
            <wp:positionV relativeFrom="paragraph">
              <wp:posOffset>-2252345</wp:posOffset>
            </wp:positionV>
            <wp:extent cx="5100955" cy="2390775"/>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100955" cy="2390775"/>
                    </a:xfrm>
                    <a:prstGeom prst="rect">
                      <a:avLst/>
                    </a:prstGeom>
                    <a:noFill/>
                    <a:ln w="9525">
                      <a:noFill/>
                      <a:miter lim="800000"/>
                      <a:headEnd/>
                      <a:tailEnd/>
                    </a:ln>
                  </pic:spPr>
                </pic:pic>
              </a:graphicData>
            </a:graphic>
          </wp:anchor>
        </w:drawing>
      </w:r>
    </w:p>
    <w:p w:rsidR="00861428" w:rsidRDefault="005F717E" w:rsidP="00946D06">
      <w:r>
        <w:t xml:space="preserve">The Operating Ratio is projected to remain in deficit for the full forecast period, at a </w:t>
      </w:r>
      <w:r w:rsidR="002821DB">
        <w:t>lower</w:t>
      </w:r>
      <w:r>
        <w:t xml:space="preserve"> ratio tha</w:t>
      </w:r>
      <w:r w:rsidR="002821DB">
        <w:t>n</w:t>
      </w:r>
      <w:r>
        <w:t xml:space="preserve"> achieved historically.  The ratio is predicted to be at its weakest in 2013 </w:t>
      </w:r>
      <w:r w:rsidR="00535F42">
        <w:t>with a negative result of 37.3% (</w:t>
      </w:r>
      <w:r w:rsidR="002821DB">
        <w:t xml:space="preserve">negative </w:t>
      </w:r>
      <w:r w:rsidR="00535F42">
        <w:t xml:space="preserve">$9.8m) although if the forecast </w:t>
      </w:r>
      <w:r w:rsidR="00861428">
        <w:t>was completed in nominal terms then the negative Operating Ratio would</w:t>
      </w:r>
      <w:r w:rsidR="00225A32">
        <w:t xml:space="preserve"> likely</w:t>
      </w:r>
      <w:r w:rsidR="00861428">
        <w:t xml:space="preserve"> continue on a downward trend over time.</w:t>
      </w:r>
    </w:p>
    <w:p w:rsidR="00A42799" w:rsidRDefault="003D7D92" w:rsidP="00946D06">
      <w:r>
        <w:t xml:space="preserve">The ratio reduces in 2013 due to a </w:t>
      </w:r>
      <w:r w:rsidR="00A42799">
        <w:t>lower level of operating grant</w:t>
      </w:r>
      <w:r w:rsidR="007D1466">
        <w:t>s</w:t>
      </w:r>
      <w:r w:rsidR="00A42799">
        <w:t xml:space="preserve"> and contributions being forecast </w:t>
      </w:r>
      <w:r w:rsidR="00172C05">
        <w:t>with</w:t>
      </w:r>
      <w:r w:rsidR="00A42799">
        <w:t xml:space="preserve"> the timing differences of the Financial Assistance Grants levelling out and also that one-off grants have not been forecast as they are specific in nature.  </w:t>
      </w:r>
    </w:p>
    <w:p w:rsidR="003D7D92" w:rsidRPr="00A42799" w:rsidRDefault="00A42799" w:rsidP="00946D06">
      <w:pPr>
        <w:rPr>
          <w:color w:val="FF0000"/>
        </w:rPr>
      </w:pPr>
      <w:r>
        <w:lastRenderedPageBreak/>
        <w:t xml:space="preserve">User charges and fees are forecast to decrease by $1.0m to $5.0m in 2013 before increasing </w:t>
      </w:r>
      <w:r w:rsidR="00C97C6C">
        <w:t>marginally</w:t>
      </w:r>
      <w:r>
        <w:t xml:space="preserve"> annually until 2016, also contributing to the larger deficit. </w:t>
      </w:r>
    </w:p>
    <w:p w:rsidR="00B96B71" w:rsidRPr="00893E42" w:rsidRDefault="00861428" w:rsidP="00946D06">
      <w:r>
        <w:t xml:space="preserve">An ongoing operating deficit at these levels </w:t>
      </w:r>
      <w:r w:rsidR="001032B9">
        <w:t xml:space="preserve">is of concern in terms of </w:t>
      </w:r>
      <w:r>
        <w:t xml:space="preserve">the medium to long term </w:t>
      </w:r>
      <w:r w:rsidR="00172C05">
        <w:t>S</w:t>
      </w:r>
      <w:r>
        <w:t>ustainability of Council.</w:t>
      </w:r>
      <w:r w:rsidR="0055448E">
        <w:t xml:space="preserve">  Council believe</w:t>
      </w:r>
      <w:r w:rsidR="00172C05">
        <w:t>s</w:t>
      </w:r>
      <w:r w:rsidR="0055448E">
        <w:t xml:space="preserve"> that the</w:t>
      </w:r>
      <w:r w:rsidR="00837D75">
        <w:t xml:space="preserve"> possibility of applying for a S</w:t>
      </w:r>
      <w:r w:rsidR="0055448E">
        <w:t xml:space="preserve">RV is not an option as they do not believe that the community has the financial capacity to </w:t>
      </w:r>
      <w:r w:rsidR="00E12785">
        <w:t>pay higher rates.  It therefore appears that the only way that Council will be able to achieve a break even position is if they receive significant additional grant funding</w:t>
      </w:r>
      <w:r w:rsidR="00837D75">
        <w:t xml:space="preserve"> or reduce service levels</w:t>
      </w:r>
      <w:r w:rsidR="00E12785">
        <w:t>.</w:t>
      </w:r>
      <w:r w:rsidR="005F717E">
        <w:t xml:space="preserve"> </w:t>
      </w:r>
    </w:p>
    <w:p w:rsidR="00837D75" w:rsidRDefault="00837D75" w:rsidP="00893E42">
      <w:pPr>
        <w:pStyle w:val="Heading2"/>
        <w:spacing w:before="220" w:after="220" w:line="280" w:lineRule="exact"/>
      </w:pPr>
      <w:bookmarkStart w:id="60" w:name="_Toc330915498"/>
      <w:bookmarkStart w:id="61" w:name="_Toc334702522"/>
    </w:p>
    <w:p w:rsidR="00B96B71" w:rsidRPr="00893E42" w:rsidRDefault="00B96B71" w:rsidP="00893E42">
      <w:pPr>
        <w:pStyle w:val="Heading2"/>
        <w:spacing w:before="220" w:after="220" w:line="280" w:lineRule="exact"/>
      </w:pPr>
      <w:r>
        <w:t>4.2</w:t>
      </w:r>
      <w:r w:rsidRPr="00D60017">
        <w:t>:</w:t>
      </w:r>
      <w:r>
        <w:tab/>
        <w:t>Financial Management Indicators</w:t>
      </w:r>
      <w:bookmarkEnd w:id="60"/>
      <w:bookmarkEnd w:id="61"/>
    </w:p>
    <w:p w:rsidR="00B96B71" w:rsidRPr="00150FA5" w:rsidRDefault="00B96B71" w:rsidP="00DE2E88">
      <w:pPr>
        <w:pStyle w:val="Title"/>
      </w:pPr>
      <w:r w:rsidRPr="00150FA5">
        <w:t>Liquidity Ratios</w:t>
      </w:r>
    </w:p>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p w:rsidR="00A556D7" w:rsidRDefault="00A556D7" w:rsidP="00946D06">
      <w:r w:rsidRPr="00A556D7">
        <w:rPr>
          <w:noProof/>
        </w:rPr>
        <w:drawing>
          <wp:anchor distT="0" distB="0" distL="114300" distR="114300" simplePos="0" relativeHeight="251667456" behindDoc="0" locked="0" layoutInCell="1" allowOverlap="1" wp14:anchorId="702E28B4" wp14:editId="35DC74DB">
            <wp:simplePos x="0" y="0"/>
            <wp:positionH relativeFrom="column">
              <wp:posOffset>22225</wp:posOffset>
            </wp:positionH>
            <wp:positionV relativeFrom="paragraph">
              <wp:posOffset>-2541270</wp:posOffset>
            </wp:positionV>
            <wp:extent cx="5100955" cy="2686050"/>
            <wp:effectExtent l="1905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100955" cy="2686050"/>
                    </a:xfrm>
                    <a:prstGeom prst="rect">
                      <a:avLst/>
                    </a:prstGeom>
                    <a:noFill/>
                    <a:ln w="9525">
                      <a:noFill/>
                      <a:miter lim="800000"/>
                      <a:headEnd/>
                      <a:tailEnd/>
                    </a:ln>
                  </pic:spPr>
                </pic:pic>
              </a:graphicData>
            </a:graphic>
          </wp:anchor>
        </w:drawing>
      </w:r>
    </w:p>
    <w:p w:rsidR="001A51AE" w:rsidRDefault="00861428" w:rsidP="00946D06">
      <w:r>
        <w:t xml:space="preserve">The Cash Expense Ratio is forecast to remain slightly above zero at 0.2 months in </w:t>
      </w:r>
      <w:r w:rsidR="004472FB">
        <w:t>2013 before Council expect cash</w:t>
      </w:r>
      <w:r>
        <w:t xml:space="preserve"> and cash equivalents to turn negative in 2014 and for the position to become progressively worse each year as Council utilises more cash than they </w:t>
      </w:r>
      <w:r w:rsidR="004472FB">
        <w:t>have at their disposal</w:t>
      </w:r>
      <w:r w:rsidR="001840AC">
        <w:t>.</w:t>
      </w:r>
      <w:r w:rsidR="001A51AE">
        <w:t xml:space="preserve">  </w:t>
      </w:r>
    </w:p>
    <w:p w:rsidR="001840AC" w:rsidRDefault="001A51AE" w:rsidP="00946D06">
      <w:r>
        <w:t xml:space="preserve">Council has detailed that the draft copy of the forecast did not project cash and cash equivalents to decline into negative figures and that there has been an issue with the transfer from the draft to final versions.  </w:t>
      </w:r>
      <w:r w:rsidR="001032B9">
        <w:t>This needs to be corrected by Council.</w:t>
      </w:r>
    </w:p>
    <w:p w:rsidR="001840AC" w:rsidRDefault="001840AC" w:rsidP="00946D06"/>
    <w:p w:rsidR="001840AC" w:rsidRDefault="001840AC" w:rsidP="00946D06"/>
    <w:p w:rsidR="001A51AE" w:rsidRDefault="001A51AE" w:rsidP="00946D06"/>
    <w:p w:rsidR="001A51AE" w:rsidRDefault="001A51AE" w:rsidP="00946D06"/>
    <w:p w:rsidR="001A51AE" w:rsidRDefault="001A51AE" w:rsidP="00946D06"/>
    <w:p w:rsidR="000715F1" w:rsidRDefault="000715F1" w:rsidP="00946D06"/>
    <w:p w:rsidR="001A51AE" w:rsidRDefault="001A51AE" w:rsidP="00946D06"/>
    <w:p w:rsidR="001840AC" w:rsidRDefault="001840AC" w:rsidP="00946D06"/>
    <w:p w:rsidR="001840AC" w:rsidRDefault="001840AC" w:rsidP="00946D06"/>
    <w:p w:rsidR="001840AC" w:rsidRDefault="001840AC" w:rsidP="00946D06"/>
    <w:p w:rsidR="001840AC" w:rsidRDefault="001840AC" w:rsidP="00946D06"/>
    <w:p w:rsidR="001840AC" w:rsidRDefault="001840AC" w:rsidP="00946D06"/>
    <w:p w:rsidR="001840AC" w:rsidRDefault="001840AC" w:rsidP="00946D06"/>
    <w:p w:rsidR="00861428" w:rsidRDefault="00FC50E0" w:rsidP="00946D06">
      <w:r>
        <w:rPr>
          <w:noProof/>
        </w:rPr>
        <w:drawing>
          <wp:anchor distT="0" distB="0" distL="114300" distR="114300" simplePos="0" relativeHeight="251674624" behindDoc="0" locked="0" layoutInCell="1" allowOverlap="1" wp14:anchorId="657BCBF3" wp14:editId="594C13AD">
            <wp:simplePos x="0" y="0"/>
            <wp:positionH relativeFrom="column">
              <wp:posOffset>21506</wp:posOffset>
            </wp:positionH>
            <wp:positionV relativeFrom="paragraph">
              <wp:posOffset>-2584342</wp:posOffset>
            </wp:positionV>
            <wp:extent cx="5100596" cy="2760453"/>
            <wp:effectExtent l="19050" t="0" r="4804"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00596" cy="2760453"/>
                    </a:xfrm>
                    <a:prstGeom prst="rect">
                      <a:avLst/>
                    </a:prstGeom>
                    <a:noFill/>
                    <a:ln w="9525">
                      <a:noFill/>
                      <a:miter lim="800000"/>
                      <a:headEnd/>
                      <a:tailEnd/>
                    </a:ln>
                  </pic:spPr>
                </pic:pic>
              </a:graphicData>
            </a:graphic>
          </wp:anchor>
        </w:drawing>
      </w:r>
      <w:r w:rsidR="00861428">
        <w:t xml:space="preserve"> </w:t>
      </w:r>
    </w:p>
    <w:p w:rsidR="00861428" w:rsidRDefault="001840AC" w:rsidP="00946D06">
      <w:r>
        <w:t>The Unrestricted Current Ratio highlights the liquidity issues that Council expect to experience by 2014.</w:t>
      </w:r>
      <w:r w:rsidR="00836B7D">
        <w:t xml:space="preserve">  This ratio follows a similar trend to the Cash Expense Ratio with Council unable to meet their ongoing liabilities in 2014 as the current service levels utilise more cash than Council have available.  </w:t>
      </w:r>
    </w:p>
    <w:p w:rsidR="00836B7D" w:rsidRDefault="00836B7D" w:rsidP="00946D06">
      <w:r>
        <w:t xml:space="preserve">Both of the </w:t>
      </w:r>
      <w:r w:rsidR="0055448E">
        <w:t xml:space="preserve">liquidity ratios highlight that </w:t>
      </w:r>
      <w:r w:rsidR="00135DD8">
        <w:t>Council is</w:t>
      </w:r>
      <w:r w:rsidR="0055448E">
        <w:t xml:space="preserve"> unable to continue operating on an ongoing basis with the current levels of service provided.  </w:t>
      </w:r>
    </w:p>
    <w:p w:rsidR="00B96B71" w:rsidRPr="00150FA5" w:rsidRDefault="00B96B71" w:rsidP="00DE2E88">
      <w:pPr>
        <w:pStyle w:val="Title"/>
      </w:pPr>
      <w:r w:rsidRPr="00150FA5">
        <w:t>Fiscal Flexibility Ratios</w:t>
      </w:r>
    </w:p>
    <w:p w:rsidR="007311AE" w:rsidRDefault="007311AE" w:rsidP="00946D06"/>
    <w:p w:rsidR="007311AE" w:rsidRDefault="007311AE" w:rsidP="00946D06"/>
    <w:p w:rsidR="007311AE" w:rsidRDefault="007311AE" w:rsidP="00946D06"/>
    <w:p w:rsidR="007311AE" w:rsidRDefault="007311AE" w:rsidP="00946D06"/>
    <w:p w:rsidR="007311AE" w:rsidRDefault="007311AE" w:rsidP="00946D06"/>
    <w:p w:rsidR="007311AE" w:rsidRDefault="007311AE" w:rsidP="00946D06"/>
    <w:p w:rsidR="007311AE" w:rsidRDefault="007311AE" w:rsidP="00946D06"/>
    <w:p w:rsidR="007311AE" w:rsidRDefault="007311AE" w:rsidP="00946D06"/>
    <w:p w:rsidR="002C37F9" w:rsidRPr="00893E42" w:rsidRDefault="007311AE" w:rsidP="00946D06">
      <w:r w:rsidRPr="007311AE">
        <w:rPr>
          <w:noProof/>
        </w:rPr>
        <w:drawing>
          <wp:anchor distT="0" distB="0" distL="114300" distR="114300" simplePos="0" relativeHeight="251669504" behindDoc="0" locked="0" layoutInCell="1" allowOverlap="1" wp14:anchorId="569BAAFD" wp14:editId="2CFB8F44">
            <wp:simplePos x="0" y="0"/>
            <wp:positionH relativeFrom="column">
              <wp:posOffset>22225</wp:posOffset>
            </wp:positionH>
            <wp:positionV relativeFrom="paragraph">
              <wp:posOffset>-2579370</wp:posOffset>
            </wp:positionV>
            <wp:extent cx="5100955" cy="2724150"/>
            <wp:effectExtent l="19050" t="0" r="444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r w:rsidR="002C37F9" w:rsidRPr="00893E42">
        <w:tab/>
      </w:r>
    </w:p>
    <w:p w:rsidR="007311AE" w:rsidRDefault="007311AE" w:rsidP="00946D06">
      <w:r>
        <w:t>Council has historically relied upon grants and contributions to assist meeting their liabilities and this is forecast to continue with the Own Source Operating Revenue Ratio remaining a long way below the 60% benchmark.</w:t>
      </w:r>
    </w:p>
    <w:p w:rsidR="007311AE" w:rsidRDefault="007311AE" w:rsidP="00946D06">
      <w:r>
        <w:t xml:space="preserve">With a population below 5,000 it is very </w:t>
      </w:r>
      <w:r w:rsidR="00E26D94">
        <w:t>difficult</w:t>
      </w:r>
      <w:r>
        <w:t xml:space="preserve"> for Council to generate </w:t>
      </w:r>
      <w:r w:rsidR="00E26D94">
        <w:t>a sufficient level of own source operating revenues that could provide financial flexibility.</w:t>
      </w:r>
      <w:r>
        <w:t xml:space="preserve">  </w:t>
      </w:r>
    </w:p>
    <w:p w:rsidR="00996DD4" w:rsidRDefault="001A6605" w:rsidP="00946D06">
      <w:r>
        <w:rPr>
          <w:noProof/>
        </w:rPr>
        <w:lastRenderedPageBreak/>
        <w:drawing>
          <wp:anchor distT="0" distB="0" distL="114300" distR="114300" simplePos="0" relativeHeight="251672576" behindDoc="0" locked="0" layoutInCell="1" allowOverlap="1" wp14:anchorId="49B3F7FF" wp14:editId="183DD8BE">
            <wp:simplePos x="0" y="0"/>
            <wp:positionH relativeFrom="column">
              <wp:posOffset>22225</wp:posOffset>
            </wp:positionH>
            <wp:positionV relativeFrom="paragraph">
              <wp:posOffset>-45720</wp:posOffset>
            </wp:positionV>
            <wp:extent cx="5100955" cy="2724150"/>
            <wp:effectExtent l="19050" t="0" r="444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p>
    <w:p w:rsidR="00996DD4" w:rsidRDefault="00996DD4" w:rsidP="00946D06"/>
    <w:p w:rsidR="00996DD4" w:rsidRDefault="00996DD4" w:rsidP="00946D06"/>
    <w:p w:rsidR="00996DD4" w:rsidRDefault="00996DD4" w:rsidP="00946D06"/>
    <w:p w:rsidR="00996DD4" w:rsidRDefault="00996DD4" w:rsidP="00946D06"/>
    <w:p w:rsidR="00996DD4" w:rsidRDefault="00996DD4" w:rsidP="00946D06"/>
    <w:p w:rsidR="006B1F56" w:rsidRDefault="006B1F56" w:rsidP="00946D06"/>
    <w:p w:rsidR="006B1F56" w:rsidRDefault="006B1F56" w:rsidP="00946D06"/>
    <w:p w:rsidR="001A6605" w:rsidRDefault="001A6605" w:rsidP="00946D06"/>
    <w:p w:rsidR="00996DD4" w:rsidRDefault="001A6605" w:rsidP="00946D06">
      <w:r>
        <w:rPr>
          <w:noProof/>
        </w:rPr>
        <w:drawing>
          <wp:anchor distT="0" distB="0" distL="114300" distR="114300" simplePos="0" relativeHeight="251670528" behindDoc="0" locked="0" layoutInCell="1" allowOverlap="1" wp14:anchorId="17B0A21B" wp14:editId="6E47984F">
            <wp:simplePos x="0" y="0"/>
            <wp:positionH relativeFrom="column">
              <wp:posOffset>-38879</wp:posOffset>
            </wp:positionH>
            <wp:positionV relativeFrom="paragraph">
              <wp:posOffset>1282209</wp:posOffset>
            </wp:positionV>
            <wp:extent cx="5427130" cy="2898476"/>
            <wp:effectExtent l="19050" t="0" r="212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27130" cy="2898476"/>
                    </a:xfrm>
                    <a:prstGeom prst="rect">
                      <a:avLst/>
                    </a:prstGeom>
                    <a:noFill/>
                    <a:ln w="9525">
                      <a:noFill/>
                      <a:miter lim="800000"/>
                      <a:headEnd/>
                      <a:tailEnd/>
                    </a:ln>
                  </pic:spPr>
                </pic:pic>
              </a:graphicData>
            </a:graphic>
          </wp:anchor>
        </w:drawing>
      </w:r>
      <w:r w:rsidR="00653C58">
        <w:t xml:space="preserve">The DSCR is projected to </w:t>
      </w:r>
      <w:r>
        <w:t>increase from the low of 2012 when Council were unable to meet their debt repayments from EBITDA and had to utilise reserves to meet the liability.  The ratio is projected to remain</w:t>
      </w:r>
      <w:r w:rsidR="00653C58">
        <w:t xml:space="preserve"> below the </w:t>
      </w:r>
      <w:r w:rsidR="007C2CD7">
        <w:t xml:space="preserve">2.00x </w:t>
      </w:r>
      <w:r w:rsidR="00653C58">
        <w:t>be</w:t>
      </w:r>
      <w:r>
        <w:t>nchmark</w:t>
      </w:r>
      <w:r w:rsidR="007C2CD7">
        <w:t xml:space="preserve"> for the full forecast although it remains above 1.00x</w:t>
      </w:r>
      <w:r>
        <w:t>,</w:t>
      </w:r>
      <w:r w:rsidR="00822773">
        <w:t xml:space="preserve"> indicating that Council should be able to meet the current level of borrowings and the $3.9m scheduled to be utilised in 2013 for </w:t>
      </w:r>
      <w:r>
        <w:t>capital</w:t>
      </w:r>
      <w:r w:rsidR="00D76761">
        <w:t xml:space="preserve"> works</w:t>
      </w:r>
      <w:r>
        <w:t xml:space="preserve"> relating to bridge </w:t>
      </w:r>
      <w:r w:rsidR="0028745C">
        <w:t xml:space="preserve">and aged care </w:t>
      </w:r>
      <w:r>
        <w:t>assets</w:t>
      </w:r>
      <w:r w:rsidR="00D76761">
        <w:t>.</w:t>
      </w:r>
      <w:r w:rsidR="007C2CD7">
        <w:t xml:space="preserve">  </w:t>
      </w:r>
      <w:r w:rsidR="00AB3477">
        <w:t>A</w:t>
      </w:r>
      <w:r w:rsidR="003963C3">
        <w:t xml:space="preserve"> ratio below the 2.00x benchmark indicates that there </w:t>
      </w:r>
      <w:r w:rsidR="00A42799">
        <w:t>would be limited</w:t>
      </w:r>
      <w:r w:rsidR="003963C3">
        <w:t xml:space="preserve"> </w:t>
      </w:r>
      <w:r>
        <w:t xml:space="preserve">financial </w:t>
      </w:r>
      <w:r w:rsidR="003963C3">
        <w:t xml:space="preserve">flexibility </w:t>
      </w:r>
      <w:r w:rsidR="00A42799">
        <w:t xml:space="preserve">if Council </w:t>
      </w:r>
      <w:r>
        <w:t>experience</w:t>
      </w:r>
      <w:r w:rsidR="00AB3477">
        <w:t xml:space="preserve"> an</w:t>
      </w:r>
      <w:r>
        <w:t>y</w:t>
      </w:r>
      <w:r w:rsidR="00AB3477">
        <w:t xml:space="preserve"> </w:t>
      </w:r>
      <w:r w:rsidR="00A42799">
        <w:t>adverse</w:t>
      </w:r>
      <w:r w:rsidR="00AB3477">
        <w:t xml:space="preserve"> financial event</w:t>
      </w:r>
      <w:r>
        <w:t>s</w:t>
      </w:r>
      <w:r w:rsidR="00A42799">
        <w:t>.</w:t>
      </w:r>
    </w:p>
    <w:p w:rsidR="00A42799" w:rsidRDefault="00A42799" w:rsidP="00946D06"/>
    <w:p w:rsidR="00996DD4" w:rsidRDefault="00996DD4" w:rsidP="00946D06"/>
    <w:p w:rsidR="00996DD4" w:rsidRDefault="00996DD4" w:rsidP="00946D06"/>
    <w:p w:rsidR="00996DD4" w:rsidRDefault="00996DD4" w:rsidP="00946D06"/>
    <w:p w:rsidR="00996DD4" w:rsidRDefault="00996DD4" w:rsidP="00946D06"/>
    <w:p w:rsidR="00996DD4" w:rsidRDefault="00996DD4" w:rsidP="00946D06"/>
    <w:p w:rsidR="00996DD4" w:rsidRDefault="00996DD4" w:rsidP="00946D06"/>
    <w:p w:rsidR="00996DD4" w:rsidRDefault="00996DD4" w:rsidP="00946D06"/>
    <w:p w:rsidR="00996DD4" w:rsidRDefault="00996DD4" w:rsidP="00946D06"/>
    <w:p w:rsidR="00AB3477" w:rsidRDefault="001A6605" w:rsidP="003963C3">
      <w:r>
        <w:t>Similar to the DSCR, t</w:t>
      </w:r>
      <w:r w:rsidR="00AB3477">
        <w:t>he Interest Cove</w:t>
      </w:r>
      <w:r>
        <w:t>r Ratio highlights</w:t>
      </w:r>
      <w:r w:rsidR="00AB3477">
        <w:t xml:space="preserve"> Council </w:t>
      </w:r>
      <w:r w:rsidR="00D3705C">
        <w:t>is forecast to be</w:t>
      </w:r>
      <w:r w:rsidR="00AB3477">
        <w:t xml:space="preserve"> unable to me</w:t>
      </w:r>
      <w:r>
        <w:t>et their interest costs from</w:t>
      </w:r>
      <w:r w:rsidR="00AB3477">
        <w:t xml:space="preserve"> EBITDA in </w:t>
      </w:r>
      <w:r>
        <w:t>2012</w:t>
      </w:r>
      <w:r w:rsidR="00AB3477">
        <w:t xml:space="preserve"> and </w:t>
      </w:r>
      <w:r w:rsidR="00D3705C">
        <w:t xml:space="preserve">will have </w:t>
      </w:r>
      <w:r w:rsidR="00AB3477">
        <w:t>to utilise cash reser</w:t>
      </w:r>
      <w:r>
        <w:t>ves to meet the</w:t>
      </w:r>
      <w:r w:rsidR="001032B9">
        <w:t>ir</w:t>
      </w:r>
      <w:r>
        <w:t xml:space="preserve"> interest</w:t>
      </w:r>
      <w:r w:rsidR="00AB3477">
        <w:t xml:space="preserve"> liabilities.  The forecast indicates that </w:t>
      </w:r>
      <w:r w:rsidR="001F21A7">
        <w:t xml:space="preserve">the ratio will improve from </w:t>
      </w:r>
      <w:r w:rsidR="00AB3477">
        <w:t>2012 however it will remain below the 4.00x benchmark over the forecast period.</w:t>
      </w:r>
    </w:p>
    <w:p w:rsidR="003963C3" w:rsidRDefault="003963C3" w:rsidP="003963C3">
      <w:r>
        <w:lastRenderedPageBreak/>
        <w:t>Council state</w:t>
      </w:r>
      <w:r w:rsidR="00897B39">
        <w:t>s</w:t>
      </w:r>
      <w:r>
        <w:t xml:space="preserve"> within the LTFP that the General Fund could comfortably borrow a further $10m</w:t>
      </w:r>
      <w:r w:rsidR="00AB3477">
        <w:t>,</w:t>
      </w:r>
      <w:r>
        <w:t xml:space="preserve"> however from our analysis we do not </w:t>
      </w:r>
      <w:r w:rsidR="00AB3477">
        <w:t>believe this to be the case</w:t>
      </w:r>
      <w:r w:rsidR="007D1466">
        <w:t>, unless Council reduces expenses in other a</w:t>
      </w:r>
      <w:r w:rsidR="001A6605">
        <w:t>reas</w:t>
      </w:r>
      <w:r>
        <w:t>.  Our analysis of Council’s capacity to incorporate further borrowings is included within Section 4.5.</w:t>
      </w:r>
    </w:p>
    <w:p w:rsidR="00B96B71" w:rsidRDefault="00B96B71" w:rsidP="00B96B71">
      <w:pPr>
        <w:spacing w:line="276" w:lineRule="auto"/>
      </w:pPr>
    </w:p>
    <w:p w:rsidR="00B96B71" w:rsidRPr="00893E42" w:rsidRDefault="00B96B71" w:rsidP="00893E42">
      <w:pPr>
        <w:pStyle w:val="Heading2"/>
        <w:spacing w:before="220" w:after="220" w:line="280" w:lineRule="exact"/>
      </w:pPr>
      <w:bookmarkStart w:id="62" w:name="_Toc330915499"/>
      <w:bookmarkStart w:id="63" w:name="_Toc334702523"/>
      <w:r>
        <w:t>4.3</w:t>
      </w:r>
      <w:r w:rsidRPr="00D60017">
        <w:t>:</w:t>
      </w:r>
      <w:r>
        <w:tab/>
        <w:t>Capital Expenditure</w:t>
      </w:r>
      <w:bookmarkEnd w:id="62"/>
      <w:bookmarkEnd w:id="63"/>
    </w:p>
    <w:p w:rsidR="001A6605" w:rsidRDefault="001A6605" w:rsidP="00946D06"/>
    <w:p w:rsidR="001A6605" w:rsidRDefault="001A6605" w:rsidP="00946D06"/>
    <w:p w:rsidR="001A6605" w:rsidRDefault="001A6605" w:rsidP="00946D06"/>
    <w:p w:rsidR="001A6605" w:rsidRDefault="001A6605" w:rsidP="00946D06"/>
    <w:p w:rsidR="001A6605" w:rsidRDefault="001A6605" w:rsidP="00946D06"/>
    <w:p w:rsidR="001A6605" w:rsidRDefault="001A6605" w:rsidP="00946D06"/>
    <w:p w:rsidR="001A6605" w:rsidRDefault="001A6605" w:rsidP="00946D06"/>
    <w:p w:rsidR="001A6605" w:rsidRDefault="001A6605" w:rsidP="00946D06"/>
    <w:p w:rsidR="001A6605" w:rsidRDefault="00D84CFB" w:rsidP="00946D06">
      <w:r w:rsidRPr="00D84CFB">
        <w:rPr>
          <w:noProof/>
        </w:rPr>
        <w:drawing>
          <wp:anchor distT="0" distB="0" distL="114300" distR="114300" simplePos="0" relativeHeight="251673600" behindDoc="0" locked="0" layoutInCell="1" allowOverlap="1" wp14:anchorId="4BAAF8DF" wp14:editId="791A6BAF">
            <wp:simplePos x="0" y="0"/>
            <wp:positionH relativeFrom="column">
              <wp:posOffset>22225</wp:posOffset>
            </wp:positionH>
            <wp:positionV relativeFrom="paragraph">
              <wp:posOffset>-2582545</wp:posOffset>
            </wp:positionV>
            <wp:extent cx="5100955" cy="2724150"/>
            <wp:effectExtent l="19050" t="0" r="444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100955" cy="2724150"/>
                    </a:xfrm>
                    <a:prstGeom prst="rect">
                      <a:avLst/>
                    </a:prstGeom>
                    <a:noFill/>
                    <a:ln w="9525">
                      <a:noFill/>
                      <a:miter lim="800000"/>
                      <a:headEnd/>
                      <a:tailEnd/>
                    </a:ln>
                  </pic:spPr>
                </pic:pic>
              </a:graphicData>
            </a:graphic>
          </wp:anchor>
        </w:drawing>
      </w:r>
    </w:p>
    <w:p w:rsidR="00AB3477" w:rsidRDefault="00AB3477" w:rsidP="00946D06">
      <w:r>
        <w:t>The Capital Expenditure Ratio</w:t>
      </w:r>
      <w:r w:rsidR="00D84CFB">
        <w:t xml:space="preserve"> remains</w:t>
      </w:r>
      <w:r w:rsidR="00692D56">
        <w:t xml:space="preserve"> significantly below the 1.10x benchmark throughout the forecast period, highlighting Council’s inability to renew the asset base and maintain the Net Asset value.  </w:t>
      </w:r>
    </w:p>
    <w:p w:rsidR="00692D56" w:rsidRDefault="00692D56" w:rsidP="00946D06">
      <w:r>
        <w:t xml:space="preserve">Over the total review period, </w:t>
      </w:r>
      <w:r w:rsidR="0088590D">
        <w:t>Council’s cumulativ</w:t>
      </w:r>
      <w:r w:rsidR="004472FB">
        <w:t>e capital expenditure is</w:t>
      </w:r>
      <w:r w:rsidR="0088590D">
        <w:t xml:space="preserve"> 50.0% ($53.0m) of the cumulative depreciation total ($106.0m) highlighting the likely decline in the asset base.</w:t>
      </w:r>
    </w:p>
    <w:p w:rsidR="004472FB" w:rsidRDefault="004472FB" w:rsidP="00946D06">
      <w:r>
        <w:t>The Net Asset position within the General Fund is forecast to reduce from $173.0m in 2012 to $103.3m in 2022.</w:t>
      </w:r>
    </w:p>
    <w:p w:rsidR="00B96B71" w:rsidRDefault="00B96B71" w:rsidP="00B96B71">
      <w:pPr>
        <w:spacing w:line="276" w:lineRule="auto"/>
        <w:ind w:left="1560"/>
        <w:jc w:val="left"/>
      </w:pPr>
    </w:p>
    <w:p w:rsidR="00B96B71" w:rsidRPr="00893E42" w:rsidRDefault="00424A2E" w:rsidP="00893E42">
      <w:pPr>
        <w:pStyle w:val="Heading2"/>
        <w:spacing w:before="220" w:after="220" w:line="280" w:lineRule="exact"/>
      </w:pPr>
      <w:r>
        <w:rPr>
          <w:b w:val="0"/>
        </w:rPr>
        <w:br w:type="page"/>
      </w:r>
      <w:bookmarkStart w:id="64" w:name="_Toc330915500"/>
      <w:bookmarkStart w:id="65" w:name="_Toc334702524"/>
      <w:r w:rsidR="00B96B71">
        <w:lastRenderedPageBreak/>
        <w:t>4.4</w:t>
      </w:r>
      <w:r w:rsidR="00B96B71" w:rsidRPr="00D60017">
        <w:t>:</w:t>
      </w:r>
      <w:r w:rsidR="00B96B71">
        <w:tab/>
        <w:t>Financial Model Assumption Review</w:t>
      </w:r>
      <w:bookmarkEnd w:id="64"/>
      <w:bookmarkEnd w:id="65"/>
      <w:r w:rsidR="00F91A3A">
        <w:t xml:space="preserve"> </w:t>
      </w:r>
    </w:p>
    <w:p w:rsidR="00B96B71" w:rsidRPr="00893E42" w:rsidRDefault="00B96B71" w:rsidP="0068747D">
      <w:r w:rsidRPr="00893E42">
        <w:t>Councils have used their own assumptions in developing their forecasts.</w:t>
      </w:r>
    </w:p>
    <w:p w:rsidR="00B96B71" w:rsidRPr="00893E42" w:rsidRDefault="00B96B71" w:rsidP="0068747D">
      <w:r w:rsidRPr="00893E42">
        <w:t xml:space="preserve">In order to evaluate the validity of </w:t>
      </w:r>
      <w:r w:rsidR="00D24DE7" w:rsidRPr="00893E42">
        <w:t xml:space="preserve">the </w:t>
      </w:r>
      <w:r w:rsidRPr="00893E42">
        <w:t>Council’s forecast model, TCorp has compared the model assumptions versus TCorp</w:t>
      </w:r>
      <w:r w:rsidR="00D24DE7" w:rsidRPr="00893E42">
        <w:t>’s</w:t>
      </w:r>
      <w:r w:rsidRPr="00893E42">
        <w:t xml:space="preserve"> benchmarks for annual increases in the various revenue and expenditure items.</w:t>
      </w:r>
      <w:r w:rsidR="00404D0A">
        <w:t xml:space="preserve"> </w:t>
      </w:r>
      <w:r w:rsidRPr="00893E42">
        <w:t xml:space="preserve"> Any material differences from these benchmarks should be explained through the LTFP.</w:t>
      </w:r>
    </w:p>
    <w:p w:rsidR="00B96B71" w:rsidRPr="00893E42" w:rsidRDefault="00B96B71" w:rsidP="0068747D">
      <w:r w:rsidRPr="00893E42">
        <w:t>TCorp</w:t>
      </w:r>
      <w:r w:rsidR="00D24DE7" w:rsidRPr="00893E42">
        <w:t>’s</w:t>
      </w:r>
      <w:r w:rsidRPr="00893E42">
        <w:t xml:space="preserve"> </w:t>
      </w:r>
      <w:r w:rsidR="00D24DE7" w:rsidRPr="00893E42">
        <w:t>b</w:t>
      </w:r>
      <w:r w:rsidRPr="00893E42">
        <w:t>enchmarks:</w:t>
      </w:r>
    </w:p>
    <w:p w:rsidR="00B96B71" w:rsidRPr="00FE7955" w:rsidRDefault="00B96B71" w:rsidP="00893E42">
      <w:pPr>
        <w:pStyle w:val="Subtitle"/>
        <w:ind w:left="714" w:hanging="357"/>
      </w:pPr>
      <w:r w:rsidRPr="00FE7955">
        <w:t xml:space="preserve">Rates and annual charges: TCorp notes that </w:t>
      </w:r>
      <w:r w:rsidR="00EF03F0">
        <w:t>the LGCI</w:t>
      </w:r>
      <w:r w:rsidRPr="00FE7955">
        <w:t xml:space="preserve"> increased by 3.4% in the year to September 2011, and in December 2011, IPART announced that the rate peg to apply in the 2012/13 financial year will be 3.6%.</w:t>
      </w:r>
      <w:r>
        <w:t xml:space="preserve">  </w:t>
      </w:r>
      <w:r w:rsidRPr="00FE7955">
        <w:t>Beyond 2013 TCorp has assessed a g</w:t>
      </w:r>
      <w:r w:rsidR="00305E7D">
        <w:t>eneral benchmark for rates and</w:t>
      </w:r>
      <w:r w:rsidRPr="00FE7955">
        <w:t xml:space="preserve"> annual charge</w:t>
      </w:r>
      <w:r w:rsidR="00305E7D">
        <w:t>s</w:t>
      </w:r>
      <w:r w:rsidRPr="00FE7955">
        <w:t xml:space="preserve"> </w:t>
      </w:r>
      <w:r w:rsidR="00305E7D">
        <w:t>to</w:t>
      </w:r>
      <w:r>
        <w:t xml:space="preserve"> </w:t>
      </w:r>
      <w:r w:rsidRPr="00FE7955">
        <w:t>increase by mid-ra</w:t>
      </w:r>
      <w:r w:rsidR="002C37F9">
        <w:t>nge LGCI annual increases of 3</w:t>
      </w:r>
      <w:r w:rsidR="0094434F">
        <w:t>.0</w:t>
      </w:r>
      <w:r w:rsidR="002C37F9">
        <w:t>%</w:t>
      </w:r>
    </w:p>
    <w:p w:rsidR="00B96B71" w:rsidRPr="00FE7955" w:rsidRDefault="00B96B71" w:rsidP="00893E42">
      <w:pPr>
        <w:pStyle w:val="Subtitle"/>
        <w:ind w:left="714" w:hanging="357"/>
      </w:pPr>
      <w:r w:rsidRPr="00FE7955">
        <w:t>Interest and investment revenue: annual return of 5</w:t>
      </w:r>
      <w:r w:rsidR="006701FF">
        <w:t>.0</w:t>
      </w:r>
      <w:r w:rsidRPr="00FE7955">
        <w:t>%</w:t>
      </w:r>
    </w:p>
    <w:p w:rsidR="00B96B71" w:rsidRPr="00FE7955" w:rsidRDefault="00B96B71" w:rsidP="00893E42">
      <w:pPr>
        <w:pStyle w:val="Subtitle"/>
        <w:ind w:left="714" w:hanging="357"/>
      </w:pPr>
      <w:r>
        <w:t>All other revenue</w:t>
      </w:r>
      <w:r w:rsidRPr="00FE7955">
        <w:t xml:space="preserve"> items</w:t>
      </w:r>
      <w:r w:rsidR="00305E7D">
        <w:t>:</w:t>
      </w:r>
      <w:r w:rsidRPr="00FE7955">
        <w:t xml:space="preserve"> the estimated annual </w:t>
      </w:r>
      <w:r>
        <w:t>CPI</w:t>
      </w:r>
      <w:r w:rsidRPr="00FE7955">
        <w:t xml:space="preserve"> increase of 2.5%</w:t>
      </w:r>
    </w:p>
    <w:p w:rsidR="00B96B71" w:rsidRPr="00FE7955" w:rsidRDefault="00B96B71" w:rsidP="00893E42">
      <w:pPr>
        <w:pStyle w:val="Subtitle"/>
        <w:ind w:left="714" w:hanging="357"/>
      </w:pPr>
      <w:r w:rsidRPr="00FE7955">
        <w:t>Employee costs: 3.5% (</w:t>
      </w:r>
      <w:r>
        <w:t xml:space="preserve">estimated </w:t>
      </w:r>
      <w:r w:rsidRPr="00FE7955">
        <w:t>CPI+1</w:t>
      </w:r>
      <w:r w:rsidR="006701FF">
        <w:t>.0</w:t>
      </w:r>
      <w:r w:rsidRPr="00FE7955">
        <w:t>%)</w:t>
      </w:r>
    </w:p>
    <w:p w:rsidR="00B96B71" w:rsidRPr="00FE7955" w:rsidRDefault="00B96B71" w:rsidP="00893E42">
      <w:pPr>
        <w:pStyle w:val="Subtitle"/>
        <w:ind w:left="714" w:hanging="357"/>
      </w:pPr>
      <w:r>
        <w:t>All other expenses</w:t>
      </w:r>
      <w:r w:rsidRPr="00FE7955">
        <w:t xml:space="preserve">: the estimated annual </w:t>
      </w:r>
      <w:r>
        <w:t>CPI</w:t>
      </w:r>
      <w:r w:rsidRPr="00FE7955">
        <w:t xml:space="preserve"> increase of 2.5%</w:t>
      </w:r>
    </w:p>
    <w:p w:rsidR="00B96B71" w:rsidRPr="002C37F9" w:rsidRDefault="00B96B71" w:rsidP="00DE2E88">
      <w:pPr>
        <w:pStyle w:val="Title"/>
      </w:pPr>
      <w:r w:rsidRPr="002C37F9">
        <w:t>Key Observations and Risks</w:t>
      </w:r>
    </w:p>
    <w:p w:rsidR="004A5227" w:rsidRDefault="004A5227" w:rsidP="00893E42">
      <w:pPr>
        <w:pStyle w:val="Subtitle"/>
        <w:ind w:left="714" w:hanging="357"/>
      </w:pPr>
      <w:r>
        <w:t xml:space="preserve">Council has completed the LTFP forecast in real dollar terms, not </w:t>
      </w:r>
      <w:r w:rsidR="00506797">
        <w:t>including the likely impact of inflation on revenues and expenses</w:t>
      </w:r>
      <w:r w:rsidR="00282140">
        <w:t>.</w:t>
      </w:r>
    </w:p>
    <w:p w:rsidR="00C97C6C" w:rsidRDefault="00C97C6C" w:rsidP="00C97C6C">
      <w:pPr>
        <w:pStyle w:val="Subtitle"/>
      </w:pPr>
      <w:r>
        <w:t>Service levels are forecast to remain at the current level for all scenarios.</w:t>
      </w:r>
    </w:p>
    <w:p w:rsidR="00F91A3A" w:rsidRPr="000715F1" w:rsidRDefault="00282140" w:rsidP="00282140">
      <w:pPr>
        <w:pStyle w:val="Subtitle"/>
      </w:pPr>
      <w:r>
        <w:t xml:space="preserve">The </w:t>
      </w:r>
      <w:r w:rsidR="00D175C4">
        <w:t>‘</w:t>
      </w:r>
      <w:r>
        <w:t>adopted</w:t>
      </w:r>
      <w:r w:rsidR="00D175C4">
        <w:t>’</w:t>
      </w:r>
      <w:r>
        <w:t xml:space="preserve"> scenario forecasts </w:t>
      </w:r>
      <w:r w:rsidR="0030271D">
        <w:t xml:space="preserve">a larger deficit position in each year than the </w:t>
      </w:r>
      <w:r w:rsidR="00D175C4">
        <w:t>‘</w:t>
      </w:r>
      <w:r w:rsidR="0030271D">
        <w:t>business as usual</w:t>
      </w:r>
      <w:r w:rsidR="00D175C4">
        <w:t>’</w:t>
      </w:r>
      <w:r w:rsidR="0030271D">
        <w:t xml:space="preserve"> scenario</w:t>
      </w:r>
      <w:r w:rsidR="00BC643B">
        <w:t>.  This is due to issues when Council transferred their draft forecast to a finalised format.</w:t>
      </w:r>
      <w:r w:rsidR="0030271D">
        <w:t xml:space="preserve">  The </w:t>
      </w:r>
      <w:r w:rsidR="00D175C4">
        <w:t>‘</w:t>
      </w:r>
      <w:r w:rsidR="0030271D">
        <w:t>adopted</w:t>
      </w:r>
      <w:r w:rsidR="00D175C4">
        <w:t>’</w:t>
      </w:r>
      <w:r w:rsidR="0030271D">
        <w:t xml:space="preserve"> scenario states that Council is unlikely to be eligible for the R</w:t>
      </w:r>
      <w:r w:rsidR="001032B9">
        <w:t>oads to Recovery</w:t>
      </w:r>
      <w:r w:rsidR="0030271D">
        <w:t xml:space="preserve"> grants in future</w:t>
      </w:r>
      <w:r w:rsidR="0028745C">
        <w:t>,</w:t>
      </w:r>
      <w:r w:rsidR="00BC643B">
        <w:t xml:space="preserve"> with this and a reduction in the FAG as the</w:t>
      </w:r>
      <w:r w:rsidR="0028745C">
        <w:t xml:space="preserve"> advance payments cease, being the</w:t>
      </w:r>
      <w:r w:rsidR="00BC643B">
        <w:t xml:space="preserve"> reason</w:t>
      </w:r>
      <w:r w:rsidR="0028745C">
        <w:t>s</w:t>
      </w:r>
      <w:r w:rsidR="00BC643B">
        <w:t xml:space="preserve"> for the</w:t>
      </w:r>
      <w:r w:rsidR="0030271D" w:rsidRPr="00DD4792">
        <w:rPr>
          <w:color w:val="FF0000"/>
        </w:rPr>
        <w:t xml:space="preserve"> </w:t>
      </w:r>
      <w:r w:rsidR="00F91A3A" w:rsidRPr="000715F1">
        <w:t>$</w:t>
      </w:r>
      <w:r w:rsidR="00F261DB" w:rsidRPr="000715F1">
        <w:t>2.9</w:t>
      </w:r>
      <w:r w:rsidR="00F91A3A" w:rsidRPr="000715F1">
        <w:t>m decrease in operating grants and contributions</w:t>
      </w:r>
      <w:r w:rsidR="00BC643B" w:rsidRPr="000715F1">
        <w:t xml:space="preserve"> in 2013.</w:t>
      </w:r>
    </w:p>
    <w:p w:rsidR="00282140" w:rsidRPr="000715F1" w:rsidRDefault="00F91A3A" w:rsidP="00282140">
      <w:pPr>
        <w:pStyle w:val="Subtitle"/>
      </w:pPr>
      <w:r w:rsidRPr="000715F1">
        <w:t xml:space="preserve">The adopted scenario has included an additional $1m p.a. from 2014 that </w:t>
      </w:r>
      <w:r w:rsidR="00135DD8" w:rsidRPr="000715F1">
        <w:t>Council is</w:t>
      </w:r>
      <w:r w:rsidRPr="000715F1">
        <w:t xml:space="preserve"> confident the ARRG will be successful in lobbying additional grant funding for. </w:t>
      </w:r>
      <w:r w:rsidR="0030271D" w:rsidRPr="000715F1">
        <w:t xml:space="preserve"> </w:t>
      </w:r>
    </w:p>
    <w:p w:rsidR="004A5227" w:rsidRPr="000715F1" w:rsidRDefault="00201B46" w:rsidP="004A5227">
      <w:pPr>
        <w:pStyle w:val="Subtitle"/>
      </w:pPr>
      <w:r w:rsidRPr="000715F1">
        <w:t xml:space="preserve">Depreciation </w:t>
      </w:r>
      <w:r w:rsidR="0028745C" w:rsidRPr="000715F1">
        <w:t xml:space="preserve">and amortisation </w:t>
      </w:r>
      <w:r w:rsidRPr="000715F1">
        <w:t>is forecast at a level higher than historically stated</w:t>
      </w:r>
      <w:r w:rsidR="007F1FC4" w:rsidRPr="000715F1">
        <w:t xml:space="preserve"> within the General Fund</w:t>
      </w:r>
      <w:r w:rsidRPr="000715F1">
        <w:t>.</w:t>
      </w:r>
      <w:r w:rsidR="0028745C" w:rsidRPr="000715F1">
        <w:t xml:space="preserve">  The 2013 figure of $10.5m is higher than the 2012 figure of $7.6m however it is similar to the 2012 figure inclusive of impairments that equated to $10.6m.</w:t>
      </w:r>
    </w:p>
    <w:p w:rsidR="00C97C6C" w:rsidRPr="00C97C6C" w:rsidRDefault="00C97C6C" w:rsidP="00C97C6C">
      <w:pPr>
        <w:pStyle w:val="Subtitle"/>
      </w:pPr>
      <w:r w:rsidRPr="000715F1">
        <w:t>Council has predicted that they</w:t>
      </w:r>
      <w:r>
        <w:t xml:space="preserve"> will receive additional grant funding </w:t>
      </w:r>
      <w:r w:rsidR="00D175C4">
        <w:t>via</w:t>
      </w:r>
      <w:r>
        <w:t xml:space="preserve"> the</w:t>
      </w:r>
      <w:r w:rsidR="00D175C4">
        <w:t xml:space="preserve"> FAG of 15% in 2014 following a review of how the grant is calculated that is expected to be completed by December 2013. </w:t>
      </w:r>
      <w:r w:rsidR="0028745C">
        <w:t xml:space="preserve">Council </w:t>
      </w:r>
      <w:r w:rsidR="00B36D9A">
        <w:t xml:space="preserve">has advised TCorp that they </w:t>
      </w:r>
      <w:r w:rsidR="0028745C">
        <w:t xml:space="preserve">understand </w:t>
      </w:r>
      <w:r w:rsidR="00B36D9A">
        <w:t xml:space="preserve">that </w:t>
      </w:r>
      <w:r w:rsidR="0028745C">
        <w:t>the FAG distribution will be amended to boost the revenues of rural councils at the possible expense of their metropolitan counterparts</w:t>
      </w:r>
      <w:r w:rsidR="00B36D9A">
        <w:t>.  TCorp is not able to comment on the accuracy of this assumption other than to say that we are not aware of any announcement by government that supports this assumption.</w:t>
      </w:r>
    </w:p>
    <w:p w:rsidR="00B36D9A" w:rsidRDefault="003B1966" w:rsidP="004F1EB7">
      <w:pPr>
        <w:pStyle w:val="Subtitle"/>
      </w:pPr>
      <w:r>
        <w:t xml:space="preserve">As </w:t>
      </w:r>
      <w:r w:rsidR="004F1EB7">
        <w:t xml:space="preserve">Council’s </w:t>
      </w:r>
      <w:r>
        <w:t xml:space="preserve">forecast has been completed in real dollar terms it is not possible to analyse all of the </w:t>
      </w:r>
      <w:r w:rsidR="004F1EB7">
        <w:t xml:space="preserve">underlying assumptions </w:t>
      </w:r>
      <w:r>
        <w:t>for accuracy against TCorp’s expected nominal annual increments.</w:t>
      </w:r>
      <w:r w:rsidR="001032B9">
        <w:t xml:space="preserve">  </w:t>
      </w:r>
    </w:p>
    <w:p w:rsidR="004F1EB7" w:rsidRPr="004F1EB7" w:rsidRDefault="001032B9" w:rsidP="004F1EB7">
      <w:pPr>
        <w:pStyle w:val="Subtitle"/>
      </w:pPr>
      <w:r>
        <w:t>Council’s assumptions of increased grants are subject to approval and may be optimistic.</w:t>
      </w:r>
    </w:p>
    <w:p w:rsidR="00B96B71" w:rsidRDefault="00B96B71" w:rsidP="00B96B71">
      <w:pPr>
        <w:spacing w:line="276" w:lineRule="auto"/>
        <w:rPr>
          <w:b/>
        </w:rPr>
        <w:sectPr w:rsidR="00B96B71" w:rsidSect="00893E42">
          <w:headerReference w:type="default" r:id="rId22"/>
          <w:footerReference w:type="default" r:id="rId23"/>
          <w:headerReference w:type="first" r:id="rId24"/>
          <w:footerReference w:type="first" r:id="rId25"/>
          <w:pgSz w:w="11906" w:h="16838"/>
          <w:pgMar w:top="2637" w:right="1418" w:bottom="1134" w:left="2455" w:header="708" w:footer="708" w:gutter="0"/>
          <w:cols w:space="708"/>
          <w:docGrid w:linePitch="360"/>
        </w:sectPr>
      </w:pPr>
    </w:p>
    <w:p w:rsidR="00B96B71" w:rsidRPr="00893E42" w:rsidRDefault="00B96B71" w:rsidP="00893E42">
      <w:pPr>
        <w:pStyle w:val="Heading2"/>
        <w:spacing w:before="220" w:after="220" w:line="280" w:lineRule="exact"/>
      </w:pPr>
      <w:bookmarkStart w:id="66" w:name="_Toc330915502"/>
      <w:bookmarkStart w:id="67" w:name="_Toc334702526"/>
      <w:r w:rsidRPr="00980AF9">
        <w:lastRenderedPageBreak/>
        <w:t>4.</w:t>
      </w:r>
      <w:r w:rsidR="00A05262">
        <w:t>5</w:t>
      </w:r>
      <w:r w:rsidRPr="00980AF9">
        <w:t>:</w:t>
      </w:r>
      <w:r w:rsidR="008E5760">
        <w:tab/>
      </w:r>
      <w:r>
        <w:t>Borrowing Capacity</w:t>
      </w:r>
      <w:bookmarkEnd w:id="66"/>
      <w:bookmarkEnd w:id="67"/>
    </w:p>
    <w:p w:rsidR="00370E38" w:rsidRDefault="00B96B71" w:rsidP="0068747D">
      <w:r w:rsidRPr="00893E42">
        <w:t xml:space="preserve">When analysing the financial capacity of </w:t>
      </w:r>
      <w:r w:rsidR="00D24DE7" w:rsidRPr="00893E42">
        <w:t xml:space="preserve">the </w:t>
      </w:r>
      <w:r w:rsidRPr="00893E42">
        <w:t xml:space="preserve">Council we believe </w:t>
      </w:r>
      <w:r w:rsidR="001F21A7">
        <w:t>they</w:t>
      </w:r>
      <w:r w:rsidRPr="00893E42">
        <w:t xml:space="preserve"> will</w:t>
      </w:r>
      <w:r w:rsidR="00A05262">
        <w:t xml:space="preserve"> </w:t>
      </w:r>
      <w:r w:rsidR="00A976F4" w:rsidRPr="00893E42">
        <w:t>not be able to</w:t>
      </w:r>
      <w:r w:rsidRPr="00893E42">
        <w:t xml:space="preserve"> incorporate additional loan funding in addition to </w:t>
      </w:r>
      <w:r w:rsidR="00992736">
        <w:t>its existing debt</w:t>
      </w:r>
      <w:r w:rsidRPr="00893E42">
        <w:t xml:space="preserve"> facilities</w:t>
      </w:r>
      <w:r w:rsidR="00992736">
        <w:t xml:space="preserve"> </w:t>
      </w:r>
      <w:r w:rsidR="00A05262">
        <w:t>and the forecast $3.9m borrowings in 2013</w:t>
      </w:r>
      <w:r w:rsidR="002C37F9" w:rsidRPr="00893E42">
        <w:t xml:space="preserve">.  </w:t>
      </w:r>
    </w:p>
    <w:p w:rsidR="00370E38" w:rsidRDefault="00370E38" w:rsidP="0068747D">
      <w:r>
        <w:t>This is because</w:t>
      </w:r>
      <w:r w:rsidRPr="00370E38">
        <w:t xml:space="preserve"> </w:t>
      </w:r>
      <w:r>
        <w:t>Council is forecast to be below the respective 2.00x and 4.00x benchmarks for the DSCR and Interest Cover Ratio in each year of the forecast period.</w:t>
      </w:r>
    </w:p>
    <w:p w:rsidR="00B96B71" w:rsidRPr="00893E42" w:rsidRDefault="00D13EAA" w:rsidP="0068747D">
      <w:r>
        <w:t>In the event that Counci</w:t>
      </w:r>
      <w:r w:rsidR="00030D8B">
        <w:t>l is able to reduce expenses</w:t>
      </w:r>
      <w:r>
        <w:t xml:space="preserve"> below current forecast levels </w:t>
      </w:r>
      <w:r w:rsidR="00030D8B">
        <w:t>or secure additional revenue sources</w:t>
      </w:r>
      <w:r w:rsidR="00791C26">
        <w:t>,</w:t>
      </w:r>
      <w:r>
        <w:t xml:space="preserve"> </w:t>
      </w:r>
      <w:r w:rsidR="00370E38">
        <w:t xml:space="preserve">managing </w:t>
      </w:r>
      <w:r>
        <w:t xml:space="preserve">additional borrowings may be possible.  </w:t>
      </w:r>
    </w:p>
    <w:p w:rsidR="00D1123C" w:rsidRDefault="00D1123C" w:rsidP="00DE2E88">
      <w:pPr>
        <w:pStyle w:val="Title"/>
      </w:pPr>
    </w:p>
    <w:p w:rsidR="008F0EB1" w:rsidRDefault="00A05262">
      <w:pPr>
        <w:pStyle w:val="Heading2"/>
        <w:spacing w:before="220" w:after="220" w:line="280" w:lineRule="exact"/>
      </w:pPr>
      <w:bookmarkStart w:id="68" w:name="_Toc330915503"/>
      <w:bookmarkStart w:id="69" w:name="_Toc334702527"/>
      <w:r>
        <w:t>4.6:</w:t>
      </w:r>
      <w:r w:rsidR="008E5760">
        <w:tab/>
      </w:r>
      <w:r w:rsidR="00D1123C">
        <w:t>Sustainability</w:t>
      </w:r>
      <w:bookmarkEnd w:id="68"/>
      <w:bookmarkEnd w:id="69"/>
    </w:p>
    <w:p w:rsidR="00B621D2" w:rsidRDefault="001A72DC" w:rsidP="00B621D2">
      <w:pPr>
        <w:spacing w:line="276" w:lineRule="auto"/>
      </w:pPr>
      <w:r>
        <w:t>Based on its historical performance and the current LTFP,</w:t>
      </w:r>
      <w:r w:rsidR="00B621D2">
        <w:t xml:space="preserve"> </w:t>
      </w:r>
      <w:r w:rsidR="00135DD8">
        <w:t>Council is</w:t>
      </w:r>
      <w:r w:rsidR="00B621D2">
        <w:t xml:space="preserve"> unsustainable in the medium and long term when continuing to provide the current service levels.  The historic operating deficits are forecast to continue over the 10 year LTFP forecast period</w:t>
      </w:r>
      <w:r w:rsidR="00B960C4">
        <w:t>,</w:t>
      </w:r>
      <w:r w:rsidR="00B621D2">
        <w:t xml:space="preserve"> leading to a </w:t>
      </w:r>
      <w:r>
        <w:t xml:space="preserve">negative </w:t>
      </w:r>
      <w:r w:rsidR="00B621D2">
        <w:t>cash position and a reducing Net Asset position over time.</w:t>
      </w:r>
    </w:p>
    <w:p w:rsidR="00D1123C" w:rsidRDefault="001F21A7" w:rsidP="00D1123C">
      <w:pPr>
        <w:spacing w:line="276" w:lineRule="auto"/>
      </w:pPr>
      <w:r>
        <w:t>As stated with</w:t>
      </w:r>
      <w:r w:rsidR="005171B7">
        <w:t>in</w:t>
      </w:r>
      <w:r>
        <w:t xml:space="preserve"> the LTFP, Co</w:t>
      </w:r>
      <w:r w:rsidR="005171B7">
        <w:t>uncil believes that the only option</w:t>
      </w:r>
      <w:r>
        <w:t xml:space="preserve"> </w:t>
      </w:r>
      <w:r w:rsidR="005171B7">
        <w:t>to</w:t>
      </w:r>
      <w:r>
        <w:t xml:space="preserve"> continue to operate is by reducing service levels, indicating that the road network will have to be allocated longer effective lives and lower average quality standards as Council cannot fund the maintenance and renewals for their road infrastructure assets.</w:t>
      </w:r>
    </w:p>
    <w:p w:rsidR="008F0EB1" w:rsidRDefault="00733525" w:rsidP="00733525">
      <w:pPr>
        <w:spacing w:line="276" w:lineRule="auto"/>
      </w:pPr>
      <w:r>
        <w:rPr>
          <w:kern w:val="0"/>
        </w:rPr>
        <w:t>The relatively low population does not provide Council with a large own source operating revenue base to service the assets within the</w:t>
      </w:r>
      <w:r w:rsidRPr="00733525">
        <w:rPr>
          <w:kern w:val="0"/>
        </w:rPr>
        <w:t xml:space="preserve"> </w:t>
      </w:r>
      <w:r>
        <w:rPr>
          <w:kern w:val="0"/>
        </w:rPr>
        <w:t>large geographical area.</w:t>
      </w:r>
      <w:r w:rsidR="00EA6DD1">
        <w:rPr>
          <w:kern w:val="0"/>
        </w:rPr>
        <w:t xml:space="preserve">  Council has </w:t>
      </w:r>
      <w:r w:rsidR="00B960C4">
        <w:rPr>
          <w:kern w:val="0"/>
        </w:rPr>
        <w:t xml:space="preserve">been proactive and has </w:t>
      </w:r>
      <w:r w:rsidR="00EA6DD1">
        <w:rPr>
          <w:kern w:val="0"/>
        </w:rPr>
        <w:t xml:space="preserve">played an integral part </w:t>
      </w:r>
      <w:r w:rsidR="004F1EB7">
        <w:rPr>
          <w:kern w:val="0"/>
        </w:rPr>
        <w:t xml:space="preserve">in creating the ARRG and through their continued lobbying they hope to </w:t>
      </w:r>
      <w:r w:rsidR="00D13EAA">
        <w:rPr>
          <w:kern w:val="0"/>
        </w:rPr>
        <w:t>obtain additional</w:t>
      </w:r>
      <w:r w:rsidR="004F1EB7">
        <w:rPr>
          <w:kern w:val="0"/>
        </w:rPr>
        <w:t xml:space="preserve"> grant funding for rural LGAs to assist with the maintenance of the rural road infrastructure network. </w:t>
      </w:r>
    </w:p>
    <w:p w:rsidR="00D1123C" w:rsidRDefault="00D1123C" w:rsidP="00DE2E88">
      <w:pPr>
        <w:pStyle w:val="Title"/>
      </w:pPr>
    </w:p>
    <w:p w:rsidR="002C37F9" w:rsidRPr="002C37F9" w:rsidRDefault="002C37F9" w:rsidP="002C37F9">
      <w:pPr>
        <w:pStyle w:val="Heading1"/>
      </w:pPr>
      <w:r>
        <w:rPr>
          <w:b w:val="0"/>
        </w:rPr>
        <w:br w:type="page"/>
      </w:r>
      <w:bookmarkStart w:id="70" w:name="_Toc330915504"/>
      <w:bookmarkStart w:id="71" w:name="_Toc334702528"/>
      <w:r w:rsidR="008E5760">
        <w:lastRenderedPageBreak/>
        <w:t>Section 5</w:t>
      </w:r>
      <w:r w:rsidR="008E5760">
        <w:tab/>
      </w:r>
      <w:r w:rsidRPr="00E97C6D">
        <w:t>Benchmarking and Comparisons with Other Councils</w:t>
      </w:r>
      <w:bookmarkEnd w:id="70"/>
      <w:bookmarkEnd w:id="71"/>
    </w:p>
    <w:p w:rsidR="008A6A76" w:rsidRDefault="008A6A76" w:rsidP="008A6A76">
      <w:r>
        <w:t>Each council’s performance has been assessed against ten key benchmark ratios.  The benchmarking assessment has been conducted on a consolidated basis for councils operating more than one fund.  This section of the report compares the Council’s performance with its peers in the same DLG Group.  The Council is in DLG Group 10.  There are 25 councils in this group and at the time of preparing this report, we have data for all of these councils.</w:t>
      </w:r>
    </w:p>
    <w:p w:rsidR="008A6A76" w:rsidRDefault="008A6A76" w:rsidP="008A6A76">
      <w:r>
        <w:t xml:space="preserve">In Figure </w:t>
      </w:r>
      <w:r w:rsidR="00596390">
        <w:t>14</w:t>
      </w:r>
      <w:r>
        <w:t xml:space="preserve"> to Figure </w:t>
      </w:r>
      <w:r w:rsidR="00596390">
        <w:t>20</w:t>
      </w:r>
      <w:r>
        <w:t xml:space="preserve">, the graphs compare the historical performance of Council with the benchmark for that ratio, with the average for the Group, with the highest performance (or lowest performance in the case of the Infrastructure Backlog Ratio where a low ratio is an indicator of strong performance), and with the forecast position of the Council as at 2016 (as per Council’s LTFP).  Figures </w:t>
      </w:r>
      <w:r w:rsidR="00596390">
        <w:t>21</w:t>
      </w:r>
      <w:r>
        <w:t xml:space="preserve"> to </w:t>
      </w:r>
      <w:r w:rsidR="00596390">
        <w:t>23</w:t>
      </w:r>
      <w:r>
        <w:t xml:space="preserve"> do not include the 2016 forecast position as those numbers are not available.</w:t>
      </w:r>
    </w:p>
    <w:p w:rsidR="008A6A76" w:rsidRDefault="008A6A76" w:rsidP="008A6A76">
      <w:r>
        <w:t>Where no highest line is shown on the graph, this means that Council is the best performer in its group for that ratio.  For the Interest Cover Ratio and Debt Service Cover Ratio, we have excluded from the calculations, councils with very high ratios which are a result of low debt levels that skew the ratios.</w:t>
      </w:r>
    </w:p>
    <w:p w:rsidR="008A6A76" w:rsidRDefault="008A6A76" w:rsidP="008A6A76">
      <w:pPr>
        <w:spacing w:line="276" w:lineRule="auto"/>
        <w:rPr>
          <w:u w:val="single"/>
        </w:rPr>
      </w:pPr>
      <w:r>
        <w:rPr>
          <w:u w:val="single"/>
        </w:rPr>
        <w:t>Financial Flexibility</w:t>
      </w:r>
    </w:p>
    <w:p w:rsidR="008A6A76" w:rsidRDefault="008A6A76" w:rsidP="008A6A76">
      <w:r>
        <w:rPr>
          <w:noProof/>
        </w:rPr>
        <w:drawing>
          <wp:anchor distT="0" distB="0" distL="114300" distR="114300" simplePos="0" relativeHeight="251675648" behindDoc="0" locked="0" layoutInCell="1" allowOverlap="1" wp14:anchorId="71570BA9" wp14:editId="336743FD">
            <wp:simplePos x="0" y="0"/>
            <wp:positionH relativeFrom="column">
              <wp:posOffset>17780</wp:posOffset>
            </wp:positionH>
            <wp:positionV relativeFrom="paragraph">
              <wp:posOffset>81975</wp:posOffset>
            </wp:positionV>
            <wp:extent cx="4594860" cy="2710815"/>
            <wp:effectExtent l="0" t="0" r="15240" b="1333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8A6A76" w:rsidRDefault="008A6A76" w:rsidP="008A6A76"/>
    <w:p w:rsidR="008A6A76" w:rsidRDefault="008A6A76" w:rsidP="008A6A76"/>
    <w:p w:rsidR="008A6A76" w:rsidRDefault="008A6A76" w:rsidP="008A6A76"/>
    <w:p w:rsidR="008A6A76" w:rsidRDefault="008A6A76" w:rsidP="008A6A76"/>
    <w:p w:rsidR="008A6A76" w:rsidRPr="00893E42" w:rsidRDefault="008A6A76" w:rsidP="008A6A76"/>
    <w:p w:rsidR="002C37F9" w:rsidRPr="00F95F13" w:rsidRDefault="002C37F9" w:rsidP="002C37F9">
      <w:pPr>
        <w:spacing w:line="276" w:lineRule="auto"/>
      </w:pPr>
    </w:p>
    <w:p w:rsidR="008A6A76" w:rsidRDefault="008A6A76" w:rsidP="002C37F9">
      <w:pPr>
        <w:pStyle w:val="Heading1"/>
      </w:pPr>
      <w:bookmarkStart w:id="72" w:name="_Toc330915505"/>
      <w:bookmarkStart w:id="73" w:name="_Toc334702529"/>
    </w:p>
    <w:p w:rsidR="008A6A76" w:rsidRDefault="008A6A76" w:rsidP="002C37F9">
      <w:pPr>
        <w:pStyle w:val="Heading1"/>
      </w:pPr>
    </w:p>
    <w:p w:rsidR="008A6A76" w:rsidRDefault="008A6A76" w:rsidP="002C37F9">
      <w:pPr>
        <w:pStyle w:val="Heading1"/>
      </w:pPr>
    </w:p>
    <w:p w:rsidR="008A6A76" w:rsidRDefault="008A6A76" w:rsidP="002C37F9">
      <w:pPr>
        <w:pStyle w:val="Heading1"/>
      </w:pPr>
    </w:p>
    <w:p w:rsidR="008A6A76" w:rsidRDefault="008A6A76" w:rsidP="002C37F9">
      <w:pPr>
        <w:pStyle w:val="Heading1"/>
      </w:pPr>
    </w:p>
    <w:p w:rsidR="008A6A76" w:rsidRDefault="008A6A76" w:rsidP="002C37F9">
      <w:pPr>
        <w:pStyle w:val="Heading1"/>
      </w:pPr>
      <w:r>
        <w:rPr>
          <w:noProof/>
        </w:rPr>
        <w:lastRenderedPageBreak/>
        <w:drawing>
          <wp:inline distT="0" distB="0" distL="0" distR="0" wp14:anchorId="1BA8027A" wp14:editId="1773B354">
            <wp:extent cx="4595191" cy="2710898"/>
            <wp:effectExtent l="0" t="0" r="15240"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A6A76" w:rsidRDefault="008A6A76" w:rsidP="008A6A76">
      <w:r>
        <w:t xml:space="preserve">Council has </w:t>
      </w:r>
      <w:r w:rsidR="00091A2B">
        <w:t>a low level of</w:t>
      </w:r>
      <w:r>
        <w:t xml:space="preserve"> financial flexibility with the Operating Ratio and the Own Source Operating Revenue Ratio below the benchmark</w:t>
      </w:r>
      <w:r w:rsidR="00340DB1">
        <w:t xml:space="preserve"> </w:t>
      </w:r>
      <w:r w:rsidR="007F1403">
        <w:t>over the review p</w:t>
      </w:r>
      <w:r w:rsidR="00091A2B">
        <w:t>eriod</w:t>
      </w:r>
      <w:r w:rsidR="002152F8">
        <w:t xml:space="preserve">. </w:t>
      </w:r>
      <w:r w:rsidR="00091A2B">
        <w:t xml:space="preserve"> </w:t>
      </w:r>
      <w:r w:rsidR="002152F8">
        <w:t xml:space="preserve">Although its </w:t>
      </w:r>
      <w:r w:rsidR="00340DB1">
        <w:t xml:space="preserve">Own Source Operating Revenue Ratio is </w:t>
      </w:r>
      <w:r w:rsidR="002152F8">
        <w:t xml:space="preserve">above the group’s average, it is in </w:t>
      </w:r>
      <w:r w:rsidR="00340DB1">
        <w:t>declin</w:t>
      </w:r>
      <w:r w:rsidR="002152F8">
        <w:t>e</w:t>
      </w:r>
      <w:r w:rsidR="00340DB1">
        <w:t xml:space="preserve"> indicating </w:t>
      </w:r>
      <w:r w:rsidR="002152F8">
        <w:t xml:space="preserve">an </w:t>
      </w:r>
      <w:r w:rsidR="00340DB1">
        <w:t xml:space="preserve">increasing </w:t>
      </w:r>
      <w:r w:rsidR="002152F8">
        <w:t xml:space="preserve">reliance on </w:t>
      </w:r>
      <w:r w:rsidR="00091A2B">
        <w:t xml:space="preserve">operating </w:t>
      </w:r>
      <w:r w:rsidR="002152F8">
        <w:t>grants.</w:t>
      </w:r>
      <w:r w:rsidR="00091A2B">
        <w:t xml:space="preserve"> </w:t>
      </w:r>
      <w:r w:rsidR="002152F8">
        <w:t xml:space="preserve"> Council</w:t>
      </w:r>
      <w:r>
        <w:t xml:space="preserve"> </w:t>
      </w:r>
      <w:r w:rsidR="00091A2B">
        <w:t xml:space="preserve">needs </w:t>
      </w:r>
      <w:r>
        <w:t>additional revenue</w:t>
      </w:r>
      <w:r w:rsidR="00091A2B">
        <w:t>,</w:t>
      </w:r>
      <w:r>
        <w:t xml:space="preserve"> cost control measures</w:t>
      </w:r>
      <w:r w:rsidR="00091A2B">
        <w:t xml:space="preserve"> together with a review of service levels</w:t>
      </w:r>
      <w:r>
        <w:t xml:space="preserve"> to </w:t>
      </w:r>
      <w:r w:rsidR="00AF254F">
        <w:t>im</w:t>
      </w:r>
      <w:r w:rsidR="002152F8">
        <w:t>prove its operating performance.</w:t>
      </w: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7F1403" w:rsidRDefault="007F1403" w:rsidP="00AF254F">
      <w:pPr>
        <w:spacing w:line="276" w:lineRule="auto"/>
        <w:rPr>
          <w:u w:val="single"/>
        </w:rPr>
      </w:pPr>
    </w:p>
    <w:p w:rsidR="00AF254F" w:rsidRDefault="00AF254F" w:rsidP="00AF254F">
      <w:pPr>
        <w:spacing w:line="276" w:lineRule="auto"/>
        <w:rPr>
          <w:u w:val="single"/>
        </w:rPr>
      </w:pPr>
      <w:r>
        <w:rPr>
          <w:noProof/>
        </w:rPr>
        <w:lastRenderedPageBreak/>
        <w:drawing>
          <wp:anchor distT="0" distB="0" distL="114300" distR="114300" simplePos="0" relativeHeight="251676672" behindDoc="0" locked="0" layoutInCell="1" allowOverlap="1" wp14:anchorId="4CB3490C" wp14:editId="15063FA8">
            <wp:simplePos x="0" y="0"/>
            <wp:positionH relativeFrom="column">
              <wp:posOffset>0</wp:posOffset>
            </wp:positionH>
            <wp:positionV relativeFrom="paragraph">
              <wp:posOffset>240665</wp:posOffset>
            </wp:positionV>
            <wp:extent cx="4566285" cy="2470150"/>
            <wp:effectExtent l="0" t="0" r="24765" b="2540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Pr>
          <w:u w:val="single"/>
        </w:rPr>
        <w:t>Liquidity</w:t>
      </w:r>
    </w:p>
    <w:p w:rsidR="008A6A76" w:rsidRDefault="008A6A76" w:rsidP="00AF254F"/>
    <w:p w:rsidR="00AF254F" w:rsidRDefault="00AF254F" w:rsidP="008A6A76"/>
    <w:p w:rsidR="00AF254F" w:rsidRDefault="00AF254F" w:rsidP="008A6A76"/>
    <w:p w:rsidR="00AF254F" w:rsidRDefault="00AF254F" w:rsidP="008A6A76"/>
    <w:p w:rsidR="00AF254F" w:rsidRDefault="00AF254F" w:rsidP="008A6A76"/>
    <w:p w:rsidR="00AF254F" w:rsidRDefault="00AF254F" w:rsidP="008A6A76"/>
    <w:p w:rsidR="00AF254F" w:rsidRDefault="00AF254F" w:rsidP="008A6A76"/>
    <w:p w:rsidR="00AF254F" w:rsidRDefault="00AF254F" w:rsidP="008A6A76"/>
    <w:p w:rsidR="005D5129" w:rsidRDefault="005D5129" w:rsidP="008A6A76">
      <w:r>
        <w:t xml:space="preserve">The Council’s Cash Expense Ratio has been below benchmark and average since 2009 and will remain so until 2016. </w:t>
      </w:r>
      <w:r w:rsidR="00091A2B">
        <w:t xml:space="preserve"> </w:t>
      </w:r>
      <w:r>
        <w:t xml:space="preserve">This ratio </w:t>
      </w:r>
      <w:r w:rsidR="007F1403">
        <w:t xml:space="preserve">is low because </w:t>
      </w:r>
      <w:r w:rsidR="00355955">
        <w:t xml:space="preserve">it </w:t>
      </w:r>
      <w:r>
        <w:t xml:space="preserve">does not </w:t>
      </w:r>
      <w:r w:rsidR="00091A2B">
        <w:t>include</w:t>
      </w:r>
      <w:r>
        <w:t xml:space="preserve"> </w:t>
      </w:r>
      <w:r w:rsidR="007F1403">
        <w:t xml:space="preserve">Council’s </w:t>
      </w:r>
      <w:r>
        <w:t>investments which are mostly term deposit</w:t>
      </w:r>
      <w:r w:rsidR="00091A2B">
        <w:t>s</w:t>
      </w:r>
      <w:r>
        <w:t>.</w:t>
      </w:r>
    </w:p>
    <w:p w:rsidR="00AF254F" w:rsidRDefault="00AF254F" w:rsidP="008A6A76">
      <w:r>
        <w:rPr>
          <w:noProof/>
        </w:rPr>
        <w:drawing>
          <wp:anchor distT="0" distB="0" distL="114300" distR="114300" simplePos="0" relativeHeight="251677696" behindDoc="0" locked="0" layoutInCell="1" allowOverlap="1" wp14:anchorId="2BC4D1E5" wp14:editId="38B50B12">
            <wp:simplePos x="0" y="0"/>
            <wp:positionH relativeFrom="column">
              <wp:posOffset>17205</wp:posOffset>
            </wp:positionH>
            <wp:positionV relativeFrom="paragraph">
              <wp:posOffset>-32385</wp:posOffset>
            </wp:positionV>
            <wp:extent cx="4595191" cy="2684808"/>
            <wp:effectExtent l="0" t="0" r="15240" b="2032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AF254F" w:rsidRDefault="00AF254F" w:rsidP="008A6A76"/>
    <w:p w:rsidR="00AF254F" w:rsidRDefault="00AF254F" w:rsidP="008A6A76"/>
    <w:p w:rsidR="008A6A76" w:rsidRPr="008A6A76" w:rsidRDefault="008A6A76" w:rsidP="008A6A76"/>
    <w:p w:rsidR="00AF254F" w:rsidRDefault="00AF254F" w:rsidP="002C37F9">
      <w:pPr>
        <w:pStyle w:val="Heading1"/>
      </w:pPr>
    </w:p>
    <w:p w:rsidR="00AF254F" w:rsidRDefault="00AF254F" w:rsidP="002C37F9">
      <w:pPr>
        <w:pStyle w:val="Heading1"/>
      </w:pPr>
    </w:p>
    <w:p w:rsidR="00AF254F" w:rsidRDefault="00AF254F" w:rsidP="002C37F9">
      <w:pPr>
        <w:pStyle w:val="Heading1"/>
      </w:pPr>
    </w:p>
    <w:p w:rsidR="00AF254F" w:rsidRDefault="00AF254F" w:rsidP="002C37F9">
      <w:pPr>
        <w:pStyle w:val="Heading1"/>
      </w:pPr>
    </w:p>
    <w:p w:rsidR="00AF254F" w:rsidRDefault="00A3562D" w:rsidP="00A3562D">
      <w:r>
        <w:t>Council</w:t>
      </w:r>
      <w:r w:rsidR="005D5129">
        <w:t xml:space="preserve">’s liquidity position is </w:t>
      </w:r>
      <w:r w:rsidR="007F1403">
        <w:t>currently marginal</w:t>
      </w:r>
      <w:r w:rsidR="005D5129">
        <w:t xml:space="preserve"> with the </w:t>
      </w:r>
      <w:r>
        <w:t>Unrestricted Current Ratio above benchmark but below the group’</w:t>
      </w:r>
      <w:r w:rsidR="00351C8B">
        <w:t>s average</w:t>
      </w:r>
      <w:r w:rsidR="005D5129">
        <w:t xml:space="preserve"> since 2009</w:t>
      </w:r>
      <w:r w:rsidR="00351C8B">
        <w:t xml:space="preserve">. </w:t>
      </w:r>
      <w:r w:rsidR="00355955">
        <w:t xml:space="preserve"> </w:t>
      </w:r>
      <w:r w:rsidR="005D5129">
        <w:t>However, the ratio is in decline and will be at benchmark level by 2016.</w:t>
      </w:r>
      <w:r w:rsidR="006F5FEC">
        <w:t xml:space="preserve"> </w:t>
      </w:r>
      <w:r w:rsidR="00091A2B">
        <w:t xml:space="preserve"> </w:t>
      </w:r>
      <w:r w:rsidR="007F1403">
        <w:t xml:space="preserve">The Cash Expense Ratio is forecast to increase </w:t>
      </w:r>
      <w:r w:rsidR="002A3AE2">
        <w:t>to nearer the benchmark in 2016 however Council will remain below the group average.</w:t>
      </w:r>
    </w:p>
    <w:p w:rsidR="007F1403" w:rsidRDefault="007F1403" w:rsidP="006F5FEC">
      <w:pPr>
        <w:spacing w:line="276" w:lineRule="auto"/>
        <w:rPr>
          <w:u w:val="single"/>
        </w:rPr>
      </w:pPr>
    </w:p>
    <w:p w:rsidR="007F1403" w:rsidRDefault="007F1403" w:rsidP="006F5FEC">
      <w:pPr>
        <w:spacing w:line="276" w:lineRule="auto"/>
        <w:rPr>
          <w:u w:val="single"/>
        </w:rPr>
      </w:pPr>
    </w:p>
    <w:p w:rsidR="007F1403" w:rsidRDefault="007F1403" w:rsidP="006F5FEC">
      <w:pPr>
        <w:spacing w:line="276" w:lineRule="auto"/>
        <w:rPr>
          <w:u w:val="single"/>
        </w:rPr>
      </w:pPr>
    </w:p>
    <w:p w:rsidR="007F1403" w:rsidRDefault="007F1403" w:rsidP="006F5FEC">
      <w:pPr>
        <w:spacing w:line="276" w:lineRule="auto"/>
        <w:rPr>
          <w:u w:val="single"/>
        </w:rPr>
      </w:pPr>
    </w:p>
    <w:p w:rsidR="006F5FEC" w:rsidRDefault="006F5FEC" w:rsidP="006F5FEC">
      <w:pPr>
        <w:spacing w:line="276" w:lineRule="auto"/>
        <w:rPr>
          <w:u w:val="single"/>
        </w:rPr>
      </w:pPr>
      <w:r>
        <w:rPr>
          <w:noProof/>
        </w:rPr>
        <w:lastRenderedPageBreak/>
        <w:drawing>
          <wp:anchor distT="0" distB="0" distL="114300" distR="114300" simplePos="0" relativeHeight="251678720" behindDoc="0" locked="0" layoutInCell="1" allowOverlap="1" wp14:anchorId="147672F4" wp14:editId="1F24C413">
            <wp:simplePos x="0" y="0"/>
            <wp:positionH relativeFrom="column">
              <wp:posOffset>17145</wp:posOffset>
            </wp:positionH>
            <wp:positionV relativeFrom="paragraph">
              <wp:posOffset>295275</wp:posOffset>
            </wp:positionV>
            <wp:extent cx="4594860" cy="2715260"/>
            <wp:effectExtent l="0" t="0" r="15240" b="2794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Pr>
          <w:u w:val="single"/>
        </w:rPr>
        <w:t>Debt Servicing</w:t>
      </w:r>
    </w:p>
    <w:p w:rsidR="006F5FEC" w:rsidRDefault="006F5FEC" w:rsidP="006F5FEC"/>
    <w:p w:rsidR="006F5FEC" w:rsidRDefault="006F5FEC" w:rsidP="006F5FEC"/>
    <w:p w:rsidR="006F5FEC" w:rsidRDefault="006F5FEC" w:rsidP="006F5FEC"/>
    <w:p w:rsidR="006F5FEC" w:rsidRDefault="006F5FEC" w:rsidP="006F5FEC"/>
    <w:p w:rsidR="006F5FEC" w:rsidRDefault="006F5FEC" w:rsidP="006F5FEC"/>
    <w:p w:rsidR="006F5FEC" w:rsidRDefault="006F5FEC" w:rsidP="006F5FEC"/>
    <w:p w:rsidR="006F5FEC" w:rsidRDefault="006F5FEC" w:rsidP="006F5FEC"/>
    <w:p w:rsidR="006F5FEC" w:rsidRDefault="006F5FEC" w:rsidP="006F5FEC"/>
    <w:p w:rsidR="006F5FEC" w:rsidRDefault="006F5FEC" w:rsidP="006F5FEC"/>
    <w:p w:rsidR="006F5FEC" w:rsidRDefault="006F5FEC" w:rsidP="006F5FEC">
      <w:r>
        <w:t xml:space="preserve">The Council has moderate debt capacity with the DSCR below the group’s average but </w:t>
      </w:r>
      <w:r w:rsidR="00091A2B">
        <w:t>around</w:t>
      </w:r>
      <w:r>
        <w:t xml:space="preserve"> benchmark</w:t>
      </w:r>
      <w:r w:rsidR="005D5129">
        <w:t xml:space="preserve"> level since 2009</w:t>
      </w:r>
      <w:r>
        <w:t>.</w:t>
      </w:r>
      <w:r w:rsidR="00091A2B">
        <w:t xml:space="preserve"> </w:t>
      </w:r>
      <w:r>
        <w:t xml:space="preserve"> </w:t>
      </w:r>
      <w:r w:rsidR="00091A2B">
        <w:t xml:space="preserve">Council </w:t>
      </w:r>
      <w:r w:rsidR="00F618CD">
        <w:t>ha</w:t>
      </w:r>
      <w:r w:rsidR="00091A2B">
        <w:t>s</w:t>
      </w:r>
      <w:r w:rsidR="00F618CD">
        <w:t xml:space="preserve"> the capacity to service its current borrowings but will not have the capacity to take on further borrowing</w:t>
      </w:r>
      <w:r w:rsidR="005D5129">
        <w:t>s as the ratio falls below benchmark by 2016.</w:t>
      </w:r>
    </w:p>
    <w:p w:rsidR="006F5FEC" w:rsidRDefault="00F618CD" w:rsidP="006F5FEC">
      <w:r>
        <w:rPr>
          <w:noProof/>
        </w:rPr>
        <w:drawing>
          <wp:anchor distT="0" distB="0" distL="114300" distR="114300" simplePos="0" relativeHeight="251679744" behindDoc="0" locked="0" layoutInCell="1" allowOverlap="1" wp14:anchorId="6082C0AD" wp14:editId="13269A65">
            <wp:simplePos x="0" y="0"/>
            <wp:positionH relativeFrom="column">
              <wp:posOffset>0</wp:posOffset>
            </wp:positionH>
            <wp:positionV relativeFrom="paragraph">
              <wp:posOffset>18774</wp:posOffset>
            </wp:positionV>
            <wp:extent cx="4595191" cy="2715867"/>
            <wp:effectExtent l="0" t="0" r="15240" b="2794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5D5129" w:rsidRDefault="005D5129" w:rsidP="006F5FEC">
      <w:r>
        <w:t>Like the DSCR, the Interest Cover Ratio is at benchmark level but below the group’s average.</w:t>
      </w:r>
      <w:r w:rsidR="00091A2B">
        <w:t xml:space="preserve"> </w:t>
      </w:r>
      <w:r>
        <w:t xml:space="preserve"> </w:t>
      </w:r>
      <w:r w:rsidR="002A3AE2">
        <w:t xml:space="preserve">Due to Council’s forecast decrease </w:t>
      </w:r>
      <w:r w:rsidR="006C5CD3">
        <w:t>in performance, similar to the DSCR the ratio deteriorates in 2016</w:t>
      </w:r>
      <w:r>
        <w:t>.</w:t>
      </w:r>
    </w:p>
    <w:p w:rsidR="002A3AE2" w:rsidRDefault="002A3AE2" w:rsidP="00F618CD">
      <w:pPr>
        <w:spacing w:line="276" w:lineRule="auto"/>
        <w:rPr>
          <w:u w:val="single"/>
        </w:rPr>
      </w:pPr>
    </w:p>
    <w:p w:rsidR="002A3AE2" w:rsidRDefault="002A3AE2" w:rsidP="00F618CD">
      <w:pPr>
        <w:spacing w:line="276" w:lineRule="auto"/>
        <w:rPr>
          <w:u w:val="single"/>
        </w:rPr>
      </w:pPr>
    </w:p>
    <w:p w:rsidR="002A3AE2" w:rsidRDefault="002A3AE2" w:rsidP="00F618CD">
      <w:pPr>
        <w:spacing w:line="276" w:lineRule="auto"/>
        <w:rPr>
          <w:u w:val="single"/>
        </w:rPr>
      </w:pPr>
    </w:p>
    <w:p w:rsidR="002A3AE2" w:rsidRDefault="002A3AE2" w:rsidP="00F618CD">
      <w:pPr>
        <w:spacing w:line="276" w:lineRule="auto"/>
        <w:rPr>
          <w:u w:val="single"/>
        </w:rPr>
      </w:pPr>
    </w:p>
    <w:p w:rsidR="00F618CD" w:rsidRDefault="00F618CD" w:rsidP="00F618CD">
      <w:pPr>
        <w:spacing w:line="276" w:lineRule="auto"/>
        <w:rPr>
          <w:u w:val="single"/>
        </w:rPr>
      </w:pPr>
      <w:r>
        <w:rPr>
          <w:noProof/>
        </w:rPr>
        <w:lastRenderedPageBreak/>
        <w:drawing>
          <wp:anchor distT="0" distB="0" distL="114300" distR="114300" simplePos="0" relativeHeight="251680768" behindDoc="0" locked="0" layoutInCell="1" allowOverlap="1" wp14:anchorId="4AFDDD99" wp14:editId="082B064F">
            <wp:simplePos x="0" y="0"/>
            <wp:positionH relativeFrom="column">
              <wp:posOffset>0</wp:posOffset>
            </wp:positionH>
            <wp:positionV relativeFrom="paragraph">
              <wp:posOffset>262255</wp:posOffset>
            </wp:positionV>
            <wp:extent cx="4594860" cy="2713355"/>
            <wp:effectExtent l="0" t="0" r="15240" b="10795"/>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Pr>
          <w:u w:val="single"/>
        </w:rPr>
        <w:t>Asset Renewal and Capital Works</w:t>
      </w:r>
    </w:p>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F618CD" w:rsidRDefault="00F618CD" w:rsidP="006F5FEC"/>
    <w:p w:rsidR="006F5FEC" w:rsidRDefault="006F5FEC" w:rsidP="006F5FEC"/>
    <w:p w:rsidR="006F5FEC" w:rsidRPr="006F5FEC" w:rsidRDefault="006F5FEC" w:rsidP="006F5FEC"/>
    <w:p w:rsidR="006C5CD3" w:rsidRDefault="006C5CD3" w:rsidP="002C37F9">
      <w:pPr>
        <w:pStyle w:val="Heading1"/>
      </w:pPr>
    </w:p>
    <w:p w:rsidR="006C5CD3" w:rsidRDefault="006C5CD3" w:rsidP="002C37F9">
      <w:pPr>
        <w:pStyle w:val="Heading1"/>
      </w:pPr>
      <w:r>
        <w:rPr>
          <w:noProof/>
        </w:rPr>
        <w:drawing>
          <wp:inline distT="0" distB="0" distL="0" distR="0" wp14:anchorId="1067B340" wp14:editId="75545F0F">
            <wp:extent cx="4595191" cy="2710898"/>
            <wp:effectExtent l="0" t="0" r="15240"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5CD3" w:rsidRDefault="006C5CD3" w:rsidP="002C37F9">
      <w:pPr>
        <w:pStyle w:val="Heading1"/>
      </w:pPr>
    </w:p>
    <w:p w:rsidR="006C5CD3" w:rsidRDefault="006C5CD3" w:rsidP="002C37F9">
      <w:pPr>
        <w:pStyle w:val="Heading1"/>
      </w:pPr>
    </w:p>
    <w:p w:rsidR="006C5CD3" w:rsidRDefault="006C5CD3" w:rsidP="002C37F9">
      <w:pPr>
        <w:pStyle w:val="Heading1"/>
      </w:pPr>
    </w:p>
    <w:p w:rsidR="006C5CD3" w:rsidRPr="006C5CD3" w:rsidRDefault="006C5CD3" w:rsidP="006C5CD3"/>
    <w:p w:rsidR="006C5CD3" w:rsidRDefault="006C5CD3" w:rsidP="002C37F9">
      <w:pPr>
        <w:pStyle w:val="Heading1"/>
      </w:pPr>
    </w:p>
    <w:p w:rsidR="006C5CD3" w:rsidRDefault="006C5CD3" w:rsidP="002C37F9">
      <w:pPr>
        <w:pStyle w:val="Heading1"/>
      </w:pPr>
    </w:p>
    <w:p w:rsidR="006C5CD3" w:rsidRDefault="006C5CD3" w:rsidP="002C37F9">
      <w:pPr>
        <w:pStyle w:val="Heading1"/>
      </w:pPr>
      <w:r>
        <w:rPr>
          <w:noProof/>
        </w:rPr>
        <w:lastRenderedPageBreak/>
        <w:drawing>
          <wp:anchor distT="0" distB="0" distL="114300" distR="114300" simplePos="0" relativeHeight="251681792" behindDoc="0" locked="0" layoutInCell="1" allowOverlap="1" wp14:anchorId="35BC4DB9" wp14:editId="13FE86E1">
            <wp:simplePos x="0" y="0"/>
            <wp:positionH relativeFrom="column">
              <wp:posOffset>0</wp:posOffset>
            </wp:positionH>
            <wp:positionV relativeFrom="paragraph">
              <wp:posOffset>63500</wp:posOffset>
            </wp:positionV>
            <wp:extent cx="4594860" cy="2710815"/>
            <wp:effectExtent l="0" t="0" r="15240" b="13335"/>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F618CD" w:rsidRDefault="00F618CD" w:rsidP="002C37F9">
      <w:pPr>
        <w:pStyle w:val="Heading1"/>
      </w:pPr>
    </w:p>
    <w:p w:rsidR="00D7198A" w:rsidRPr="00D7198A" w:rsidRDefault="00D7198A" w:rsidP="00D7198A"/>
    <w:p w:rsidR="00F618CD" w:rsidRDefault="00F618CD" w:rsidP="002C37F9">
      <w:pPr>
        <w:pStyle w:val="Heading1"/>
      </w:pPr>
    </w:p>
    <w:p w:rsidR="00F618CD" w:rsidRDefault="00F618CD" w:rsidP="002C37F9">
      <w:pPr>
        <w:pStyle w:val="Heading1"/>
      </w:pPr>
    </w:p>
    <w:p w:rsidR="00F618CD" w:rsidRDefault="00F618CD" w:rsidP="002C37F9">
      <w:pPr>
        <w:pStyle w:val="Heading1"/>
      </w:pPr>
    </w:p>
    <w:p w:rsidR="00F618CD" w:rsidRDefault="00F618CD" w:rsidP="002C37F9">
      <w:pPr>
        <w:pStyle w:val="Heading1"/>
      </w:pPr>
    </w:p>
    <w:p w:rsidR="00D7198A" w:rsidRDefault="00D7198A" w:rsidP="002C37F9">
      <w:pPr>
        <w:pStyle w:val="Heading1"/>
      </w:pPr>
    </w:p>
    <w:p w:rsidR="00D7198A" w:rsidRPr="00D7198A" w:rsidRDefault="00D7198A" w:rsidP="00D7198A">
      <w:r>
        <w:rPr>
          <w:noProof/>
        </w:rPr>
        <w:drawing>
          <wp:anchor distT="0" distB="0" distL="114300" distR="114300" simplePos="0" relativeHeight="251682816" behindDoc="0" locked="0" layoutInCell="1" allowOverlap="1" wp14:anchorId="74C4309E" wp14:editId="258A0DF1">
            <wp:simplePos x="0" y="0"/>
            <wp:positionH relativeFrom="column">
              <wp:posOffset>0</wp:posOffset>
            </wp:positionH>
            <wp:positionV relativeFrom="paragraph">
              <wp:posOffset>72965</wp:posOffset>
            </wp:positionV>
            <wp:extent cx="4594860" cy="2713355"/>
            <wp:effectExtent l="0" t="0" r="15240" b="10795"/>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D7198A" w:rsidRDefault="00D7198A" w:rsidP="002C37F9">
      <w:pPr>
        <w:pStyle w:val="Heading1"/>
      </w:pPr>
    </w:p>
    <w:p w:rsidR="00D7198A" w:rsidRDefault="00D7198A" w:rsidP="002C37F9">
      <w:pPr>
        <w:pStyle w:val="Heading1"/>
      </w:pPr>
    </w:p>
    <w:p w:rsidR="00D7198A" w:rsidRDefault="00D7198A" w:rsidP="002C37F9">
      <w:pPr>
        <w:pStyle w:val="Heading1"/>
      </w:pPr>
    </w:p>
    <w:p w:rsidR="00D7198A" w:rsidRDefault="00D7198A" w:rsidP="002C37F9">
      <w:pPr>
        <w:pStyle w:val="Heading1"/>
      </w:pPr>
    </w:p>
    <w:p w:rsidR="00D7198A" w:rsidRDefault="00D7198A" w:rsidP="002C37F9">
      <w:pPr>
        <w:pStyle w:val="Heading1"/>
      </w:pPr>
    </w:p>
    <w:p w:rsidR="00D7198A" w:rsidRDefault="00D7198A" w:rsidP="002C37F9">
      <w:pPr>
        <w:pStyle w:val="Heading1"/>
      </w:pPr>
    </w:p>
    <w:p w:rsidR="00D7198A" w:rsidRDefault="00D7198A" w:rsidP="002C37F9">
      <w:pPr>
        <w:pStyle w:val="Heading1"/>
      </w:pPr>
    </w:p>
    <w:p w:rsidR="006C5CD3" w:rsidRDefault="006C5CD3" w:rsidP="006C5CD3">
      <w:r>
        <w:t xml:space="preserve">Council’s Capital Expenditure Ratio, Asset Maintenance Ratio and the Building and Infrastructure Asset Renewal Ratio have been below benchmark and the group’s average since 2009.  Should this trend continue, Council’s assets </w:t>
      </w:r>
      <w:r w:rsidR="00355955">
        <w:t>may</w:t>
      </w:r>
      <w:r>
        <w:t xml:space="preserve"> not be maintained at a level required to deliver its services and will add to an Infrastructure Backlog that has been above the group’s average and benchmark and is continuing to grow.</w:t>
      </w:r>
    </w:p>
    <w:p w:rsidR="006C5CD3" w:rsidRDefault="006C5CD3" w:rsidP="002C37F9">
      <w:pPr>
        <w:pStyle w:val="Heading1"/>
      </w:pPr>
    </w:p>
    <w:p w:rsidR="006C5CD3" w:rsidRDefault="006C5CD3" w:rsidP="006C5CD3"/>
    <w:p w:rsidR="006C5CD3" w:rsidRDefault="006C5CD3" w:rsidP="006C5CD3"/>
    <w:p w:rsidR="006C5CD3" w:rsidRPr="006C5CD3" w:rsidRDefault="006C5CD3" w:rsidP="006C5CD3"/>
    <w:p w:rsidR="002C37F9" w:rsidRPr="002C37F9" w:rsidRDefault="008E5760" w:rsidP="002C37F9">
      <w:pPr>
        <w:pStyle w:val="Heading1"/>
      </w:pPr>
      <w:r>
        <w:lastRenderedPageBreak/>
        <w:t>Section 6</w:t>
      </w:r>
      <w:r>
        <w:tab/>
      </w:r>
      <w:r w:rsidR="002C37F9">
        <w:t>Conclusion and Recommendations</w:t>
      </w:r>
      <w:bookmarkEnd w:id="72"/>
      <w:bookmarkEnd w:id="73"/>
    </w:p>
    <w:p w:rsidR="002C37F9" w:rsidRPr="00893E42" w:rsidRDefault="002C37F9" w:rsidP="00946D06">
      <w:r w:rsidRPr="00893E42">
        <w:t xml:space="preserve">Based on our review of both the historic financial information and the 10 year financial forecast within Council’s </w:t>
      </w:r>
      <w:r w:rsidR="00B97831">
        <w:t>LTFP</w:t>
      </w:r>
      <w:r w:rsidRPr="00893E42">
        <w:t xml:space="preserve"> we consider Council to be </w:t>
      </w:r>
      <w:r w:rsidR="002D1F00">
        <w:t>unsustainable</w:t>
      </w:r>
      <w:r w:rsidR="00506797">
        <w:t xml:space="preserve"> if current service levels are continued within the General Fund</w:t>
      </w:r>
      <w:r w:rsidR="00B97831">
        <w:t xml:space="preserve">. </w:t>
      </w:r>
    </w:p>
    <w:p w:rsidR="002C37F9" w:rsidRPr="00893E42" w:rsidRDefault="002C37F9" w:rsidP="00946D06">
      <w:r w:rsidRPr="00893E42">
        <w:t>We base our recommendation on the following key points:</w:t>
      </w:r>
    </w:p>
    <w:p w:rsidR="002C37F9" w:rsidRDefault="00B97831" w:rsidP="00893E42">
      <w:pPr>
        <w:pStyle w:val="Subtitle"/>
        <w:ind w:left="714" w:hanging="357"/>
      </w:pPr>
      <w:r>
        <w:t>Large operating deficits are forecast to continue throughout the forecast period with Council unable to raise sufficient revenues to meet their ongoing expenses</w:t>
      </w:r>
    </w:p>
    <w:p w:rsidR="00791C26" w:rsidRDefault="00791C26" w:rsidP="00791C26">
      <w:pPr>
        <w:pStyle w:val="Subtitle"/>
      </w:pPr>
      <w:r>
        <w:t>The General Fund is projected to run out of cash by 2014, indicating Council’s lack of liquidity</w:t>
      </w:r>
    </w:p>
    <w:p w:rsidR="00B960C4" w:rsidRPr="00B960C4" w:rsidRDefault="00B960C4" w:rsidP="00B960C4">
      <w:pPr>
        <w:pStyle w:val="Subtitle"/>
      </w:pPr>
      <w:r>
        <w:t>Council is unable to fund the</w:t>
      </w:r>
      <w:r w:rsidR="00791C26">
        <w:t xml:space="preserve"> ongoing</w:t>
      </w:r>
      <w:r>
        <w:t xml:space="preserve"> maintenance and renewals </w:t>
      </w:r>
      <w:r w:rsidR="001A72DC">
        <w:t xml:space="preserve">costs </w:t>
      </w:r>
      <w:r>
        <w:t>required to manage their infrastructure assets leading to a likely increase in the Infrastructure Backlog</w:t>
      </w:r>
    </w:p>
    <w:p w:rsidR="00B97831" w:rsidRPr="00B97831" w:rsidRDefault="00773C83" w:rsidP="00B97831">
      <w:pPr>
        <w:pStyle w:val="Subtitle"/>
      </w:pPr>
      <w:r>
        <w:t xml:space="preserve">Council’s Net Assets are projected to reduce from $173.0m in 2012 to $103.3m in 2022 within the General Fund </w:t>
      </w:r>
      <w:r w:rsidR="00791C26">
        <w:t xml:space="preserve">highlighting Council’s inability to maintain their assets at the current standard </w:t>
      </w:r>
    </w:p>
    <w:p w:rsidR="002C37F9" w:rsidRDefault="002C37F9" w:rsidP="002C37F9">
      <w:pPr>
        <w:pStyle w:val="ListParagraph"/>
        <w:spacing w:line="276" w:lineRule="auto"/>
      </w:pPr>
    </w:p>
    <w:p w:rsidR="002C37F9" w:rsidRDefault="002C37F9" w:rsidP="002C37F9">
      <w:pPr>
        <w:spacing w:line="276" w:lineRule="auto"/>
      </w:pPr>
      <w:r>
        <w:t>However we would also recommend that the following points be considered:</w:t>
      </w:r>
    </w:p>
    <w:p w:rsidR="00B97831" w:rsidRDefault="001F21A7" w:rsidP="00893E42">
      <w:pPr>
        <w:pStyle w:val="Subtitle"/>
        <w:ind w:left="714" w:hanging="357"/>
      </w:pPr>
      <w:r>
        <w:t xml:space="preserve">Council has completed their IP&amp;R documentation for the first time and </w:t>
      </w:r>
      <w:r w:rsidR="00B97831">
        <w:t xml:space="preserve">recognise that the accuracy of the data can be improved in future versions, providing more realistic documents </w:t>
      </w:r>
      <w:r w:rsidR="00773C83">
        <w:t>that may improve the forecast position</w:t>
      </w:r>
      <w:r w:rsidR="0098641A">
        <w:t>.  Council has indicated that the liquidity position may appear worse in the forecast than the likely position due to a problem with their LTFP modelling program</w:t>
      </w:r>
    </w:p>
    <w:p w:rsidR="00782018" w:rsidRDefault="00B97831" w:rsidP="00893E42">
      <w:pPr>
        <w:pStyle w:val="Subtitle"/>
        <w:ind w:left="714" w:hanging="357"/>
      </w:pPr>
      <w:r>
        <w:t xml:space="preserve">We recommend that future versions of the LTFP are completed in nominal terms to factor in the effect of inflation to enable a more </w:t>
      </w:r>
      <w:r w:rsidR="001032B9">
        <w:t>complete</w:t>
      </w:r>
      <w:r>
        <w:t xml:space="preserve"> forecast financial position to be analysed </w:t>
      </w:r>
    </w:p>
    <w:p w:rsidR="00980AF9" w:rsidRDefault="00980AF9" w:rsidP="00980AF9">
      <w:pPr>
        <w:spacing w:line="276" w:lineRule="auto"/>
        <w:rPr>
          <w:b/>
        </w:rPr>
      </w:pPr>
    </w:p>
    <w:p w:rsidR="00B96B71" w:rsidRDefault="00B96B71" w:rsidP="00980AF9">
      <w:pPr>
        <w:spacing w:line="276" w:lineRule="auto"/>
        <w:rPr>
          <w:b/>
        </w:rPr>
      </w:pPr>
    </w:p>
    <w:p w:rsidR="00B96B71" w:rsidRDefault="00B96B71" w:rsidP="00980AF9">
      <w:pPr>
        <w:spacing w:line="276" w:lineRule="auto"/>
        <w:rPr>
          <w:b/>
        </w:rPr>
      </w:pPr>
    </w:p>
    <w:p w:rsidR="003D5DCE" w:rsidRPr="00893E42" w:rsidRDefault="00052A63" w:rsidP="00893E42">
      <w:pPr>
        <w:pStyle w:val="Heading1"/>
      </w:pPr>
      <w:r>
        <w:rPr>
          <w:b w:val="0"/>
        </w:rPr>
        <w:br w:type="page"/>
      </w:r>
      <w:bookmarkStart w:id="74" w:name="_Toc330915506"/>
      <w:bookmarkStart w:id="75" w:name="_Toc334702530"/>
      <w:r w:rsidR="00D949B7" w:rsidRPr="00DD50B6">
        <w:lastRenderedPageBreak/>
        <w:t>Appendix A</w:t>
      </w:r>
      <w:r w:rsidR="00DD50B6">
        <w:tab/>
      </w:r>
      <w:r w:rsidR="00D949B7" w:rsidRPr="00DD50B6">
        <w:t>Historical F</w:t>
      </w:r>
      <w:r w:rsidR="006356BC" w:rsidRPr="00DD50B6">
        <w:t>inancial</w:t>
      </w:r>
      <w:r w:rsidR="00D949B7" w:rsidRPr="00DD50B6">
        <w:t xml:space="preserve"> Information</w:t>
      </w:r>
      <w:r w:rsidR="00D24DE7" w:rsidRPr="00DD50B6">
        <w:t xml:space="preserve"> Tables</w:t>
      </w:r>
      <w:bookmarkEnd w:id="74"/>
      <w:bookmarkEnd w:id="75"/>
    </w:p>
    <w:p w:rsidR="003D5DCE" w:rsidRPr="003B6962" w:rsidRDefault="00D949B7" w:rsidP="00DE2E88">
      <w:pPr>
        <w:pStyle w:val="Title"/>
      </w:pPr>
      <w:r w:rsidRPr="003B6962">
        <w:t>Table 1</w:t>
      </w:r>
      <w:r w:rsidR="003B6962">
        <w:t>-</w:t>
      </w:r>
      <w:r w:rsidRPr="003B6962">
        <w:tab/>
        <w:t>Income Statement</w:t>
      </w:r>
    </w:p>
    <w:tbl>
      <w:tblPr>
        <w:tblW w:w="10356" w:type="dxa"/>
        <w:jc w:val="center"/>
        <w:tblLayout w:type="fixed"/>
        <w:tblLook w:val="04A0" w:firstRow="1" w:lastRow="0" w:firstColumn="1" w:lastColumn="0" w:noHBand="0" w:noVBand="1"/>
      </w:tblPr>
      <w:tblGrid>
        <w:gridCol w:w="2693"/>
        <w:gridCol w:w="1087"/>
        <w:gridCol w:w="1087"/>
        <w:gridCol w:w="1087"/>
        <w:gridCol w:w="1087"/>
        <w:gridCol w:w="1105"/>
        <w:gridCol w:w="1105"/>
        <w:gridCol w:w="1105"/>
      </w:tblGrid>
      <w:tr w:rsidR="00A2559F" w:rsidRPr="00A8536E" w:rsidTr="00A2559F">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BACFF8"/>
            <w:noWrap/>
            <w:vAlign w:val="bottom"/>
            <w:hideMark/>
          </w:tcPr>
          <w:p w:rsidR="00A2559F" w:rsidRPr="00374A23" w:rsidRDefault="00A2559F" w:rsidP="00490328">
            <w:pPr>
              <w:spacing w:before="40" w:after="40" w:line="240" w:lineRule="auto"/>
              <w:jc w:val="center"/>
              <w:rPr>
                <w:rStyle w:val="Emphasis"/>
              </w:rPr>
            </w:pPr>
            <w:r w:rsidRPr="00374A23">
              <w:rPr>
                <w:rStyle w:val="Emphasis"/>
              </w:rPr>
              <w:t>Income Statement ($'000</w:t>
            </w:r>
            <w:r>
              <w:rPr>
                <w:rStyle w:val="Emphasis"/>
              </w:rPr>
              <w:t>s</w:t>
            </w:r>
            <w:r w:rsidRPr="00374A23">
              <w:rPr>
                <w:rStyle w:val="Emphasis"/>
              </w:rPr>
              <w:t>)</w:t>
            </w:r>
          </w:p>
        </w:tc>
        <w:tc>
          <w:tcPr>
            <w:tcW w:w="4348" w:type="dxa"/>
            <w:gridSpan w:val="4"/>
            <w:tcBorders>
              <w:top w:val="single" w:sz="4" w:space="0" w:color="auto"/>
              <w:left w:val="nil"/>
              <w:bottom w:val="single" w:sz="4" w:space="0" w:color="auto"/>
              <w:right w:val="single" w:sz="4" w:space="0" w:color="auto"/>
            </w:tcBorders>
            <w:shd w:val="clear" w:color="000000" w:fill="BACFF8"/>
          </w:tcPr>
          <w:p w:rsidR="00A2559F" w:rsidRPr="00B55059" w:rsidRDefault="00A2559F" w:rsidP="00490328">
            <w:pPr>
              <w:spacing w:before="40" w:after="40" w:line="240" w:lineRule="auto"/>
              <w:jc w:val="center"/>
              <w:rPr>
                <w:rStyle w:val="IntenseEmphasis"/>
              </w:rPr>
            </w:pPr>
            <w:r w:rsidRPr="00B55059">
              <w:rPr>
                <w:rStyle w:val="IntenseEmphasis"/>
              </w:rPr>
              <w:t>Year ended 30 June</w:t>
            </w:r>
          </w:p>
        </w:tc>
        <w:tc>
          <w:tcPr>
            <w:tcW w:w="3315" w:type="dxa"/>
            <w:gridSpan w:val="3"/>
            <w:tcBorders>
              <w:top w:val="single" w:sz="4" w:space="0" w:color="auto"/>
              <w:left w:val="nil"/>
              <w:bottom w:val="single" w:sz="4" w:space="0" w:color="auto"/>
              <w:right w:val="single" w:sz="4" w:space="0" w:color="auto"/>
            </w:tcBorders>
            <w:shd w:val="clear" w:color="000000" w:fill="BACFF8"/>
          </w:tcPr>
          <w:p w:rsidR="00A2559F" w:rsidRPr="00B55059" w:rsidRDefault="00A2559F" w:rsidP="003D5DCE">
            <w:pPr>
              <w:spacing w:before="40" w:after="40" w:line="240" w:lineRule="auto"/>
              <w:jc w:val="center"/>
              <w:rPr>
                <w:rStyle w:val="IntenseEmphasis"/>
              </w:rPr>
            </w:pPr>
            <w:r w:rsidRPr="00B55059">
              <w:rPr>
                <w:rStyle w:val="IntenseEmphasis"/>
              </w:rPr>
              <w:t>% annual change</w:t>
            </w:r>
          </w:p>
        </w:tc>
      </w:tr>
      <w:tr w:rsidR="00A2559F" w:rsidRPr="00A8536E" w:rsidTr="00A2559F">
        <w:trPr>
          <w:trHeight w:val="300"/>
          <w:jc w:val="center"/>
        </w:trPr>
        <w:tc>
          <w:tcPr>
            <w:tcW w:w="2693" w:type="dxa"/>
            <w:tcBorders>
              <w:top w:val="nil"/>
              <w:left w:val="single" w:sz="4" w:space="0" w:color="auto"/>
              <w:bottom w:val="single" w:sz="4" w:space="0" w:color="auto"/>
              <w:right w:val="single" w:sz="4" w:space="0" w:color="auto"/>
            </w:tcBorders>
            <w:shd w:val="clear" w:color="000000" w:fill="FFFFFF"/>
            <w:noWrap/>
            <w:vAlign w:val="bottom"/>
            <w:hideMark/>
          </w:tcPr>
          <w:p w:rsidR="00A2559F" w:rsidRPr="0018106F" w:rsidRDefault="00A2559F" w:rsidP="003D5DCE">
            <w:pPr>
              <w:spacing w:before="40" w:after="40" w:line="240" w:lineRule="auto"/>
              <w:jc w:val="left"/>
              <w:rPr>
                <w:color w:val="000000"/>
                <w:spacing w:val="0"/>
                <w:kern w:val="0"/>
              </w:rPr>
            </w:pPr>
          </w:p>
        </w:tc>
        <w:tc>
          <w:tcPr>
            <w:tcW w:w="1087" w:type="dxa"/>
            <w:tcBorders>
              <w:top w:val="nil"/>
              <w:left w:val="nil"/>
              <w:bottom w:val="single" w:sz="4" w:space="0" w:color="auto"/>
              <w:right w:val="single" w:sz="4" w:space="0" w:color="auto"/>
            </w:tcBorders>
            <w:shd w:val="clear" w:color="000000" w:fill="FFFFFF"/>
            <w:noWrap/>
            <w:vAlign w:val="bottom"/>
            <w:hideMark/>
          </w:tcPr>
          <w:p w:rsidR="00A2559F" w:rsidRPr="00B55059" w:rsidRDefault="00A2559F" w:rsidP="003D5DCE">
            <w:pPr>
              <w:spacing w:before="40" w:after="40" w:line="240" w:lineRule="auto"/>
              <w:jc w:val="center"/>
              <w:rPr>
                <w:rStyle w:val="IntenseEmphasis"/>
              </w:rPr>
            </w:pPr>
            <w:r w:rsidRPr="00B55059">
              <w:rPr>
                <w:rStyle w:val="IntenseEmphasis"/>
              </w:rPr>
              <w:t>201</w:t>
            </w:r>
            <w:r>
              <w:rPr>
                <w:rStyle w:val="IntenseEmphasis"/>
              </w:rPr>
              <w:t>2</w:t>
            </w:r>
          </w:p>
        </w:tc>
        <w:tc>
          <w:tcPr>
            <w:tcW w:w="1087" w:type="dxa"/>
            <w:tcBorders>
              <w:top w:val="single" w:sz="4" w:space="0" w:color="auto"/>
              <w:left w:val="nil"/>
              <w:bottom w:val="single" w:sz="4" w:space="0" w:color="auto"/>
              <w:right w:val="single" w:sz="4" w:space="0" w:color="auto"/>
            </w:tcBorders>
            <w:shd w:val="clear" w:color="000000" w:fill="FFFFFF"/>
          </w:tcPr>
          <w:p w:rsidR="00A2559F" w:rsidRPr="00B55059" w:rsidRDefault="00A2559F" w:rsidP="003D5DCE">
            <w:pPr>
              <w:spacing w:before="40" w:after="40" w:line="240" w:lineRule="auto"/>
              <w:jc w:val="center"/>
              <w:rPr>
                <w:rStyle w:val="IntenseEmphasis"/>
              </w:rPr>
            </w:pPr>
            <w:r>
              <w:rPr>
                <w:rStyle w:val="IntenseEmphasis"/>
              </w:rPr>
              <w:t>2011</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A2559F" w:rsidRPr="00B55059" w:rsidRDefault="00A2559F" w:rsidP="003D5DCE">
            <w:pPr>
              <w:spacing w:before="40" w:after="40" w:line="240" w:lineRule="auto"/>
              <w:jc w:val="center"/>
              <w:rPr>
                <w:rStyle w:val="IntenseEmphasis"/>
              </w:rPr>
            </w:pPr>
            <w:r w:rsidRPr="00B55059">
              <w:rPr>
                <w:rStyle w:val="IntenseEmphasis"/>
              </w:rPr>
              <w:t>2010</w:t>
            </w:r>
          </w:p>
        </w:tc>
        <w:tc>
          <w:tcPr>
            <w:tcW w:w="1087" w:type="dxa"/>
            <w:tcBorders>
              <w:top w:val="nil"/>
              <w:left w:val="nil"/>
              <w:bottom w:val="single" w:sz="4" w:space="0" w:color="auto"/>
              <w:right w:val="single" w:sz="4" w:space="0" w:color="auto"/>
            </w:tcBorders>
            <w:shd w:val="clear" w:color="000000" w:fill="FFFFFF"/>
            <w:noWrap/>
            <w:vAlign w:val="bottom"/>
            <w:hideMark/>
          </w:tcPr>
          <w:p w:rsidR="00A2559F" w:rsidRPr="00B55059" w:rsidRDefault="00A2559F" w:rsidP="003D5DCE">
            <w:pPr>
              <w:spacing w:before="40" w:after="40" w:line="240" w:lineRule="auto"/>
              <w:jc w:val="center"/>
              <w:rPr>
                <w:rStyle w:val="IntenseEmphasis"/>
              </w:rPr>
            </w:pPr>
            <w:r w:rsidRPr="00B55059">
              <w:rPr>
                <w:rStyle w:val="IntenseEmphasis"/>
              </w:rPr>
              <w:t>2009</w:t>
            </w:r>
          </w:p>
        </w:tc>
        <w:tc>
          <w:tcPr>
            <w:tcW w:w="1105" w:type="dxa"/>
            <w:tcBorders>
              <w:top w:val="nil"/>
              <w:left w:val="nil"/>
              <w:bottom w:val="single" w:sz="4" w:space="0" w:color="auto"/>
              <w:right w:val="single" w:sz="4" w:space="0" w:color="auto"/>
            </w:tcBorders>
            <w:shd w:val="clear" w:color="000000" w:fill="FFFFFF"/>
            <w:noWrap/>
            <w:vAlign w:val="bottom"/>
            <w:hideMark/>
          </w:tcPr>
          <w:p w:rsidR="00A2559F" w:rsidRPr="00B55059" w:rsidRDefault="00A2559F" w:rsidP="003D5DCE">
            <w:pPr>
              <w:spacing w:before="40" w:after="40" w:line="240" w:lineRule="auto"/>
              <w:jc w:val="center"/>
              <w:rPr>
                <w:rStyle w:val="IntenseEmphasis"/>
              </w:rPr>
            </w:pPr>
            <w:r w:rsidRPr="00B55059">
              <w:rPr>
                <w:rStyle w:val="IntenseEmphasis"/>
              </w:rPr>
              <w:t>201</w:t>
            </w:r>
            <w:r>
              <w:rPr>
                <w:rStyle w:val="IntenseEmphasis"/>
              </w:rPr>
              <w:t>2</w:t>
            </w:r>
          </w:p>
        </w:tc>
        <w:tc>
          <w:tcPr>
            <w:tcW w:w="1105" w:type="dxa"/>
            <w:tcBorders>
              <w:top w:val="single" w:sz="4" w:space="0" w:color="auto"/>
              <w:left w:val="nil"/>
              <w:bottom w:val="single" w:sz="4" w:space="0" w:color="auto"/>
              <w:right w:val="single" w:sz="4" w:space="0" w:color="auto"/>
            </w:tcBorders>
            <w:shd w:val="clear" w:color="000000" w:fill="FFFFFF"/>
          </w:tcPr>
          <w:p w:rsidR="00A2559F" w:rsidRPr="00B55059" w:rsidRDefault="00A2559F" w:rsidP="003D5DCE">
            <w:pPr>
              <w:spacing w:before="40" w:after="40" w:line="240" w:lineRule="auto"/>
              <w:jc w:val="center"/>
              <w:rPr>
                <w:rStyle w:val="IntenseEmphasis"/>
              </w:rPr>
            </w:pPr>
            <w:r>
              <w:rPr>
                <w:rStyle w:val="IntenseEmphasis"/>
              </w:rPr>
              <w:t>2011</w:t>
            </w:r>
          </w:p>
        </w:tc>
        <w:tc>
          <w:tcPr>
            <w:tcW w:w="1105" w:type="dxa"/>
            <w:tcBorders>
              <w:top w:val="nil"/>
              <w:left w:val="single" w:sz="4" w:space="0" w:color="auto"/>
              <w:bottom w:val="single" w:sz="4" w:space="0" w:color="auto"/>
              <w:right w:val="single" w:sz="4" w:space="0" w:color="auto"/>
            </w:tcBorders>
            <w:shd w:val="clear" w:color="000000" w:fill="FFFFFF"/>
            <w:noWrap/>
            <w:vAlign w:val="bottom"/>
            <w:hideMark/>
          </w:tcPr>
          <w:p w:rsidR="00A2559F" w:rsidRPr="00B55059" w:rsidRDefault="00A2559F" w:rsidP="003D5DCE">
            <w:pPr>
              <w:spacing w:before="40" w:after="40" w:line="240" w:lineRule="auto"/>
              <w:jc w:val="center"/>
              <w:rPr>
                <w:rStyle w:val="IntenseEmphasis"/>
              </w:rPr>
            </w:pPr>
            <w:r w:rsidRPr="00B55059">
              <w:rPr>
                <w:rStyle w:val="IntenseEmphasis"/>
              </w:rPr>
              <w:t>2010</w:t>
            </w:r>
          </w:p>
        </w:tc>
      </w:tr>
      <w:tr w:rsidR="00A2559F" w:rsidRPr="00A8536E" w:rsidTr="00A2559F">
        <w:trPr>
          <w:trHeight w:val="300"/>
          <w:jc w:val="center"/>
        </w:trPr>
        <w:tc>
          <w:tcPr>
            <w:tcW w:w="10356" w:type="dxa"/>
            <w:gridSpan w:val="8"/>
            <w:tcBorders>
              <w:top w:val="nil"/>
              <w:left w:val="single" w:sz="4" w:space="0" w:color="auto"/>
              <w:bottom w:val="single" w:sz="4" w:space="0" w:color="auto"/>
              <w:right w:val="single" w:sz="4" w:space="0" w:color="auto"/>
            </w:tcBorders>
            <w:shd w:val="clear" w:color="auto" w:fill="EBF2FA"/>
          </w:tcPr>
          <w:p w:rsidR="00A2559F" w:rsidRPr="00374A23" w:rsidRDefault="00A2559F" w:rsidP="003D5DCE">
            <w:pPr>
              <w:spacing w:before="40" w:after="40" w:line="240" w:lineRule="auto"/>
              <w:jc w:val="left"/>
              <w:rPr>
                <w:rStyle w:val="Emphasis"/>
              </w:rPr>
            </w:pPr>
            <w:r w:rsidRPr="00374A23">
              <w:rPr>
                <w:rStyle w:val="Emphasis"/>
              </w:rPr>
              <w:t>Revenue</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Rates and annual charges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7,432</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7,386</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6,778</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6,461</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0.6%</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9.0%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4.9%</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User charges and fees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6,393</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5,925</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6,198</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4,634</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7.9%</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(4.4%)</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33.8%</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sidRPr="00B55059">
              <w:rPr>
                <w:rStyle w:val="SubtleEmphasis"/>
              </w:rPr>
              <w:t>Interest and investment revenue</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638</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492</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387</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329</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29.7%</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27.1%</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17.6%</w:t>
            </w:r>
          </w:p>
        </w:tc>
      </w:tr>
      <w:tr w:rsidR="00E526BC" w:rsidRPr="00A8536E" w:rsidTr="007C2CD7">
        <w:trPr>
          <w:trHeight w:val="6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sidRPr="00B55059">
              <w:rPr>
                <w:rStyle w:val="SubtleEmphasis"/>
              </w:rPr>
              <w:t>Grants and contributions for operating purposes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8,262</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6,901</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5,695</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6,374</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19.7%</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21.2%</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(10.7%)</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sidRPr="00B55059">
              <w:rPr>
                <w:rStyle w:val="SubtleEmphasis"/>
              </w:rPr>
              <w:t>Other revenues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1,469</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1,451</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1,159</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1,679</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1.2%</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25.2%</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(31.0%)</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Pr>
                <w:rStyle w:val="SubtleEmphasis"/>
              </w:rPr>
              <w:t xml:space="preserve">Gain from the disposal of assets </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25</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77</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113</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141</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(67.5%)</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(31.9%)</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(19.9%)</w:t>
            </w:r>
          </w:p>
        </w:tc>
      </w:tr>
      <w:tr w:rsidR="00E526BC" w:rsidRPr="00A8536E" w:rsidTr="007C2CD7">
        <w:trPr>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893E42" w:rsidRDefault="00E526BC" w:rsidP="00661024">
            <w:pPr>
              <w:pStyle w:val="Tabletext"/>
              <w:rPr>
                <w:rStyle w:val="SubtleEmphasis"/>
                <w:b/>
              </w:rPr>
            </w:pPr>
            <w:r w:rsidRPr="00893E42">
              <w:rPr>
                <w:rStyle w:val="SubtleEmphasis"/>
                <w:b/>
              </w:rPr>
              <w:t>Total revenue</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24,219</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22,232</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20,330</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19,618</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8.9%</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9.4%</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3.6%</w:t>
            </w:r>
          </w:p>
        </w:tc>
      </w:tr>
      <w:tr w:rsidR="00A2559F" w:rsidRPr="00A8536E" w:rsidTr="00A2559F">
        <w:trPr>
          <w:trHeight w:val="300"/>
          <w:jc w:val="center"/>
        </w:trPr>
        <w:tc>
          <w:tcPr>
            <w:tcW w:w="10356" w:type="dxa"/>
            <w:gridSpan w:val="8"/>
            <w:tcBorders>
              <w:top w:val="nil"/>
              <w:left w:val="single" w:sz="4" w:space="0" w:color="auto"/>
              <w:bottom w:val="single" w:sz="4" w:space="0" w:color="auto"/>
              <w:right w:val="single" w:sz="4" w:space="0" w:color="000000"/>
            </w:tcBorders>
            <w:shd w:val="clear" w:color="auto" w:fill="EBF2FA"/>
          </w:tcPr>
          <w:p w:rsidR="00A2559F" w:rsidRPr="00A2559F" w:rsidRDefault="00A2559F" w:rsidP="003D5DCE">
            <w:pPr>
              <w:spacing w:before="40" w:after="40" w:line="240" w:lineRule="auto"/>
              <w:jc w:val="left"/>
              <w:rPr>
                <w:color w:val="FF0000"/>
                <w:spacing w:val="0"/>
                <w:kern w:val="0"/>
              </w:rPr>
            </w:pPr>
            <w:r w:rsidRPr="00A2559F">
              <w:rPr>
                <w:rStyle w:val="Emphasis"/>
              </w:rPr>
              <w:t>Expenses</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Employees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11,166</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8,934</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8,884</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8,865</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25.0%</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0.6%</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0.2%</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Borrowing costs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808</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635</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534</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367</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27.2%</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18.9%</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45.5%</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sidRPr="00B55059">
              <w:rPr>
                <w:rStyle w:val="SubtleEmphasis"/>
              </w:rPr>
              <w:t>Materials and contract expenses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6,210</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6,003</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4,091</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6,285</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3.4%</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46.7%</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(34.9%)</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661024">
            <w:pPr>
              <w:pStyle w:val="Tabletext"/>
              <w:rPr>
                <w:rStyle w:val="SubtleEmphasis"/>
              </w:rPr>
            </w:pPr>
            <w:r w:rsidRPr="00B55059">
              <w:rPr>
                <w:rStyle w:val="SubtleEmphasis"/>
              </w:rPr>
              <w:t>Depreciation and amortisation</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11,268</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10,442</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10,990</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10,396</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7.9%</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(5.0%)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5.7%</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Other expenses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2,240</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1,891</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1,638</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1,390</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18.5%</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15.4%</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17.8%</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893E42" w:rsidRDefault="00E526BC" w:rsidP="00661024">
            <w:pPr>
              <w:pStyle w:val="Tabletext"/>
              <w:rPr>
                <w:rStyle w:val="SubtleEmphasis"/>
                <w:b/>
              </w:rPr>
            </w:pPr>
            <w:r w:rsidRPr="00893E42">
              <w:rPr>
                <w:rStyle w:val="SubtleEmphasis"/>
                <w:b/>
              </w:rPr>
              <w:t>Total expenses</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31,692</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27,905</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26,137</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27,303</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13.6%</w:t>
            </w:r>
          </w:p>
        </w:tc>
        <w:tc>
          <w:tcPr>
            <w:tcW w:w="1105"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6.8%</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(4.3%)</w:t>
            </w:r>
          </w:p>
        </w:tc>
      </w:tr>
      <w:tr w:rsidR="00E526BC" w:rsidRPr="00A8536E" w:rsidTr="007C2CD7">
        <w:trPr>
          <w:trHeight w:val="315"/>
          <w:jc w:val="center"/>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E526BC" w:rsidRPr="00893E42" w:rsidRDefault="00E526BC" w:rsidP="00661024">
            <w:pPr>
              <w:pStyle w:val="Tabletext"/>
              <w:rPr>
                <w:rStyle w:val="SubtleEmphasis"/>
                <w:b/>
              </w:rPr>
            </w:pPr>
            <w:r w:rsidRPr="00893E42">
              <w:rPr>
                <w:rStyle w:val="SubtleEmphasis"/>
                <w:b/>
              </w:rPr>
              <w:t>Operating result</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(7,473)</w:t>
            </w:r>
          </w:p>
        </w:tc>
        <w:tc>
          <w:tcPr>
            <w:tcW w:w="1087"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(5,673)</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(5,807)</w:t>
            </w:r>
          </w:p>
        </w:tc>
        <w:tc>
          <w:tcPr>
            <w:tcW w:w="108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(7,685)</w:t>
            </w:r>
          </w:p>
        </w:tc>
        <w:tc>
          <w:tcPr>
            <w:tcW w:w="1105" w:type="dxa"/>
            <w:tcBorders>
              <w:top w:val="nil"/>
              <w:left w:val="nil"/>
              <w:bottom w:val="single" w:sz="4" w:space="0" w:color="auto"/>
              <w:right w:val="single" w:sz="4" w:space="0" w:color="auto"/>
            </w:tcBorders>
            <w:shd w:val="clear" w:color="auto" w:fill="auto"/>
            <w:noWrap/>
            <w:vAlign w:val="bottom"/>
            <w:hideMark/>
          </w:tcPr>
          <w:p w:rsidR="00E526BC" w:rsidRPr="00E526BC" w:rsidRDefault="00E526BC" w:rsidP="00E526BC">
            <w:pPr>
              <w:pStyle w:val="TableNumbers"/>
              <w:rPr>
                <w:b/>
              </w:rPr>
            </w:pPr>
            <w:r w:rsidRPr="00E526BC">
              <w:rPr>
                <w:b/>
              </w:rPr>
              <w:t>(31.7%)</w:t>
            </w:r>
          </w:p>
        </w:tc>
        <w:tc>
          <w:tcPr>
            <w:tcW w:w="1105" w:type="dxa"/>
            <w:tcBorders>
              <w:top w:val="single" w:sz="4" w:space="0" w:color="auto"/>
              <w:left w:val="nil"/>
              <w:bottom w:val="single" w:sz="4" w:space="0" w:color="auto"/>
              <w:right w:val="single" w:sz="4" w:space="0" w:color="auto"/>
            </w:tcBorders>
            <w:vAlign w:val="bottom"/>
          </w:tcPr>
          <w:p w:rsidR="00E526BC" w:rsidRPr="00E526BC" w:rsidRDefault="00E526BC" w:rsidP="00E526BC">
            <w:pPr>
              <w:pStyle w:val="TableNumbers"/>
              <w:rPr>
                <w:b/>
              </w:rPr>
            </w:pPr>
            <w:r w:rsidRPr="00E526BC">
              <w:rPr>
                <w:b/>
              </w:rPr>
              <w:t>2.3%</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526BC" w:rsidRPr="00E526BC" w:rsidRDefault="00E526BC" w:rsidP="00E526BC">
            <w:pPr>
              <w:pStyle w:val="TableNumbers"/>
              <w:rPr>
                <w:b/>
              </w:rPr>
            </w:pPr>
            <w:r w:rsidRPr="00E526BC">
              <w:rPr>
                <w:b/>
              </w:rPr>
              <w:t>24.4%</w:t>
            </w:r>
          </w:p>
        </w:tc>
      </w:tr>
    </w:tbl>
    <w:p w:rsidR="003D5DCE" w:rsidRPr="003B6962" w:rsidRDefault="00D949B7" w:rsidP="00DE2E88">
      <w:pPr>
        <w:pStyle w:val="Title"/>
      </w:pPr>
      <w:r w:rsidRPr="003B6962">
        <w:t>Table</w:t>
      </w:r>
      <w:r w:rsidR="003B6962">
        <w:t xml:space="preserve"> 2</w:t>
      </w:r>
      <w:r w:rsidR="00052A63">
        <w:t xml:space="preserve"> </w:t>
      </w:r>
      <w:r w:rsidR="003B6962">
        <w:t>-</w:t>
      </w:r>
      <w:r w:rsidR="00052A63">
        <w:t xml:space="preserve"> </w:t>
      </w:r>
      <w:r w:rsidR="00501AAE">
        <w:t>Items excluded from Income S</w:t>
      </w:r>
      <w:r w:rsidRPr="003B6962">
        <w:t>tatement</w:t>
      </w:r>
    </w:p>
    <w:tbl>
      <w:tblPr>
        <w:tblW w:w="8930" w:type="dxa"/>
        <w:jc w:val="center"/>
        <w:tblLayout w:type="fixed"/>
        <w:tblLook w:val="04A0" w:firstRow="1" w:lastRow="0" w:firstColumn="1" w:lastColumn="0" w:noHBand="0" w:noVBand="1"/>
      </w:tblPr>
      <w:tblGrid>
        <w:gridCol w:w="4961"/>
        <w:gridCol w:w="993"/>
        <w:gridCol w:w="992"/>
        <w:gridCol w:w="992"/>
        <w:gridCol w:w="992"/>
      </w:tblGrid>
      <w:tr w:rsidR="00444EB8" w:rsidRPr="00917299" w:rsidTr="00444EB8">
        <w:trPr>
          <w:trHeight w:val="399"/>
          <w:jc w:val="center"/>
        </w:trPr>
        <w:tc>
          <w:tcPr>
            <w:tcW w:w="8930" w:type="dxa"/>
            <w:gridSpan w:val="5"/>
            <w:tcBorders>
              <w:top w:val="single" w:sz="4" w:space="0" w:color="auto"/>
              <w:left w:val="single" w:sz="4" w:space="0" w:color="auto"/>
              <w:bottom w:val="single" w:sz="4" w:space="0" w:color="auto"/>
              <w:right w:val="single" w:sz="4" w:space="0" w:color="auto"/>
            </w:tcBorders>
            <w:shd w:val="clear" w:color="auto" w:fill="EBF2FA"/>
            <w:vAlign w:val="center"/>
          </w:tcPr>
          <w:p w:rsidR="00444EB8" w:rsidRPr="00444EB8" w:rsidRDefault="00444EB8" w:rsidP="00444EB8">
            <w:pPr>
              <w:pStyle w:val="Tabletext"/>
              <w:rPr>
                <w:rStyle w:val="Emphasis"/>
                <w:rFonts w:cs="Times New Roman"/>
                <w:bCs w:val="0"/>
                <w:color w:val="auto"/>
              </w:rPr>
            </w:pPr>
            <w:r w:rsidRPr="00444EB8">
              <w:rPr>
                <w:rStyle w:val="Emphasis"/>
                <w:rFonts w:cs="Times New Roman"/>
                <w:bCs w:val="0"/>
                <w:color w:val="auto"/>
              </w:rPr>
              <w:t>Excluded items ($’000s)</w:t>
            </w:r>
          </w:p>
        </w:tc>
      </w:tr>
      <w:tr w:rsidR="00A2559F" w:rsidRPr="00917299" w:rsidTr="00444EB8">
        <w:trPr>
          <w:trHeight w:val="247"/>
          <w:jc w:val="center"/>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A2559F" w:rsidRDefault="00A2559F" w:rsidP="003C4520">
            <w:pPr>
              <w:spacing w:before="40" w:after="40"/>
              <w:outlineLvl w:val="0"/>
              <w:rPr>
                <w:rFonts w:cs="Calibri"/>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A2559F" w:rsidRPr="003C4520" w:rsidRDefault="00A2559F" w:rsidP="003C4520">
            <w:pPr>
              <w:spacing w:before="40" w:after="40"/>
              <w:jc w:val="center"/>
              <w:rPr>
                <w:rFonts w:cs="Calibri"/>
                <w:b/>
                <w:bCs/>
                <w:color w:val="000000"/>
              </w:rPr>
            </w:pPr>
            <w:r w:rsidRPr="003C4520">
              <w:rPr>
                <w:rFonts w:cs="Calibri"/>
                <w:b/>
                <w:bCs/>
                <w:color w:val="000000"/>
              </w:rPr>
              <w:t>201</w:t>
            </w:r>
            <w:r>
              <w:rPr>
                <w:rFonts w:cs="Calibri"/>
                <w:b/>
                <w:bCs/>
                <w:color w:val="000000"/>
              </w:rPr>
              <w:t>2</w:t>
            </w:r>
          </w:p>
        </w:tc>
        <w:tc>
          <w:tcPr>
            <w:tcW w:w="992" w:type="dxa"/>
            <w:tcBorders>
              <w:top w:val="single" w:sz="4" w:space="0" w:color="auto"/>
              <w:left w:val="nil"/>
              <w:bottom w:val="single" w:sz="4" w:space="0" w:color="auto"/>
              <w:right w:val="single" w:sz="4" w:space="0" w:color="auto"/>
            </w:tcBorders>
          </w:tcPr>
          <w:p w:rsidR="00A2559F" w:rsidRPr="003C4520" w:rsidRDefault="00A2559F" w:rsidP="003C4520">
            <w:pPr>
              <w:spacing w:before="40" w:after="40"/>
              <w:jc w:val="center"/>
              <w:rPr>
                <w:rFonts w:cs="Calibri"/>
                <w:b/>
                <w:bCs/>
                <w:color w:val="000000"/>
              </w:rPr>
            </w:pPr>
            <w:r>
              <w:rPr>
                <w:rFonts w:cs="Calibri"/>
                <w:b/>
                <w:bCs/>
                <w:color w:val="000000"/>
              </w:rPr>
              <w:t>2011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2559F" w:rsidRPr="003C4520" w:rsidRDefault="00A2559F" w:rsidP="003C4520">
            <w:pPr>
              <w:spacing w:before="40" w:after="40"/>
              <w:jc w:val="center"/>
              <w:rPr>
                <w:rFonts w:cs="Calibri"/>
                <w:b/>
                <w:bCs/>
                <w:color w:val="000000"/>
              </w:rPr>
            </w:pPr>
            <w:r w:rsidRPr="003C4520">
              <w:rPr>
                <w:rFonts w:cs="Calibri"/>
                <w:b/>
                <w:bCs/>
                <w:color w:val="000000"/>
              </w:rPr>
              <w:t>2010</w:t>
            </w:r>
          </w:p>
        </w:tc>
        <w:tc>
          <w:tcPr>
            <w:tcW w:w="992" w:type="dxa"/>
            <w:tcBorders>
              <w:top w:val="nil"/>
              <w:left w:val="nil"/>
              <w:bottom w:val="single" w:sz="4" w:space="0" w:color="auto"/>
              <w:right w:val="single" w:sz="4" w:space="0" w:color="auto"/>
            </w:tcBorders>
            <w:shd w:val="clear" w:color="auto" w:fill="auto"/>
            <w:noWrap/>
            <w:vAlign w:val="bottom"/>
            <w:hideMark/>
          </w:tcPr>
          <w:p w:rsidR="00A2559F" w:rsidRPr="003C4520" w:rsidRDefault="00A2559F" w:rsidP="003C4520">
            <w:pPr>
              <w:spacing w:before="40" w:after="40"/>
              <w:jc w:val="center"/>
              <w:rPr>
                <w:rFonts w:cs="Calibri"/>
                <w:b/>
                <w:bCs/>
                <w:color w:val="000000"/>
              </w:rPr>
            </w:pPr>
            <w:r w:rsidRPr="003C4520">
              <w:rPr>
                <w:rFonts w:cs="Calibri"/>
                <w:b/>
                <w:bCs/>
                <w:color w:val="000000"/>
              </w:rPr>
              <w:t>2009</w:t>
            </w:r>
          </w:p>
        </w:tc>
      </w:tr>
      <w:tr w:rsidR="00E526BC" w:rsidRPr="00917299" w:rsidTr="007C2CD7">
        <w:trPr>
          <w:trHeight w:val="309"/>
          <w:jc w:val="center"/>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E526BC" w:rsidRPr="00B55059" w:rsidRDefault="00E526BC" w:rsidP="00661024">
            <w:pPr>
              <w:pStyle w:val="Tabletext"/>
              <w:rPr>
                <w:rStyle w:val="SubtleEmphasis"/>
              </w:rPr>
            </w:pPr>
            <w:r w:rsidRPr="00B55059">
              <w:rPr>
                <w:rStyle w:val="SubtleEmphasis"/>
              </w:rPr>
              <w:t>Grants and contributions for capital purposes</w:t>
            </w:r>
          </w:p>
        </w:tc>
        <w:tc>
          <w:tcPr>
            <w:tcW w:w="99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5,350</w:t>
            </w:r>
          </w:p>
        </w:tc>
        <w:tc>
          <w:tcPr>
            <w:tcW w:w="992"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4,383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3,289</w:t>
            </w:r>
          </w:p>
        </w:tc>
        <w:tc>
          <w:tcPr>
            <w:tcW w:w="992"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2,808</w:t>
            </w:r>
          </w:p>
        </w:tc>
      </w:tr>
      <w:tr w:rsidR="00E526BC" w:rsidRPr="00917299" w:rsidTr="007C2CD7">
        <w:trPr>
          <w:trHeight w:val="315"/>
          <w:jc w:val="center"/>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E526BC" w:rsidRPr="00B55059" w:rsidRDefault="00E526BC" w:rsidP="00E526BC">
            <w:pPr>
              <w:pStyle w:val="Tabletext"/>
              <w:rPr>
                <w:rStyle w:val="SubtleEmphasis"/>
              </w:rPr>
            </w:pPr>
            <w:bookmarkStart w:id="76" w:name="OLE_LINK3"/>
            <w:r>
              <w:rPr>
                <w:rStyle w:val="SubtleEmphasis"/>
              </w:rPr>
              <w:t>Reduced interest loan from Federal Government</w:t>
            </w:r>
            <w:bookmarkEnd w:id="76"/>
          </w:p>
        </w:tc>
        <w:tc>
          <w:tcPr>
            <w:tcW w:w="99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192</w:t>
            </w:r>
          </w:p>
        </w:tc>
        <w:tc>
          <w:tcPr>
            <w:tcW w:w="992"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0</w:t>
            </w:r>
          </w:p>
        </w:tc>
        <w:tc>
          <w:tcPr>
            <w:tcW w:w="992"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0</w:t>
            </w:r>
          </w:p>
        </w:tc>
      </w:tr>
    </w:tbl>
    <w:p w:rsidR="003B6962" w:rsidRDefault="003B6962" w:rsidP="003B6962">
      <w:pPr>
        <w:spacing w:line="276" w:lineRule="auto"/>
        <w:rPr>
          <w:u w:val="single"/>
        </w:rPr>
      </w:pPr>
    </w:p>
    <w:p w:rsidR="003D5DCE" w:rsidRPr="003B6962" w:rsidRDefault="00D24DE7" w:rsidP="00DE2E88">
      <w:pPr>
        <w:pStyle w:val="Title"/>
      </w:pPr>
      <w:r>
        <w:br w:type="page"/>
      </w:r>
      <w:r w:rsidR="00D949B7" w:rsidRPr="003B6962">
        <w:lastRenderedPageBreak/>
        <w:t>Table</w:t>
      </w:r>
      <w:r w:rsidR="003B6962" w:rsidRPr="003B6962">
        <w:t xml:space="preserve"> 3</w:t>
      </w:r>
      <w:r w:rsidR="00052A63">
        <w:t xml:space="preserve"> </w:t>
      </w:r>
      <w:r w:rsidR="003B6962">
        <w:t>-</w:t>
      </w:r>
      <w:r w:rsidR="00052A63">
        <w:t xml:space="preserve"> </w:t>
      </w:r>
      <w:r w:rsidR="00D949B7" w:rsidRPr="003B6962">
        <w:t>Balance Sheet</w:t>
      </w:r>
    </w:p>
    <w:tbl>
      <w:tblPr>
        <w:tblW w:w="9237" w:type="dxa"/>
        <w:jc w:val="center"/>
        <w:tblInd w:w="-629" w:type="dxa"/>
        <w:tblLayout w:type="fixed"/>
        <w:tblLook w:val="04A0" w:firstRow="1" w:lastRow="0" w:firstColumn="1" w:lastColumn="0" w:noHBand="0" w:noVBand="1"/>
      </w:tblPr>
      <w:tblGrid>
        <w:gridCol w:w="2519"/>
        <w:gridCol w:w="956"/>
        <w:gridCol w:w="956"/>
        <w:gridCol w:w="956"/>
        <w:gridCol w:w="933"/>
        <w:gridCol w:w="980"/>
        <w:gridCol w:w="980"/>
        <w:gridCol w:w="957"/>
      </w:tblGrid>
      <w:tr w:rsidR="00444EB8" w:rsidRPr="00CD4DB9" w:rsidTr="00444EB8">
        <w:trPr>
          <w:trHeight w:val="330"/>
          <w:jc w:val="center"/>
        </w:trPr>
        <w:tc>
          <w:tcPr>
            <w:tcW w:w="2519" w:type="dxa"/>
            <w:tcBorders>
              <w:top w:val="single" w:sz="4" w:space="0" w:color="auto"/>
              <w:left w:val="single" w:sz="4" w:space="0" w:color="auto"/>
              <w:bottom w:val="single" w:sz="4" w:space="0" w:color="auto"/>
              <w:right w:val="single" w:sz="4" w:space="0" w:color="auto"/>
            </w:tcBorders>
            <w:shd w:val="clear" w:color="000000" w:fill="BACFF8"/>
            <w:noWrap/>
            <w:vAlign w:val="center"/>
            <w:hideMark/>
          </w:tcPr>
          <w:p w:rsidR="00444EB8" w:rsidRPr="00B55059" w:rsidRDefault="00444EB8" w:rsidP="00444EB8">
            <w:pPr>
              <w:spacing w:before="40" w:after="40" w:line="240" w:lineRule="auto"/>
              <w:jc w:val="left"/>
              <w:rPr>
                <w:rStyle w:val="Emphasis"/>
              </w:rPr>
            </w:pPr>
            <w:r w:rsidRPr="00B55059">
              <w:rPr>
                <w:rStyle w:val="Emphasis"/>
              </w:rPr>
              <w:t>Balance Sheet ($’000</w:t>
            </w:r>
            <w:r>
              <w:rPr>
                <w:rStyle w:val="Emphasis"/>
              </w:rPr>
              <w:t>s</w:t>
            </w:r>
            <w:r w:rsidRPr="00B55059">
              <w:rPr>
                <w:rStyle w:val="Emphasis"/>
              </w:rPr>
              <w:t>)</w:t>
            </w:r>
          </w:p>
        </w:tc>
        <w:tc>
          <w:tcPr>
            <w:tcW w:w="3801" w:type="dxa"/>
            <w:gridSpan w:val="4"/>
            <w:tcBorders>
              <w:top w:val="single" w:sz="4" w:space="0" w:color="auto"/>
              <w:left w:val="nil"/>
              <w:bottom w:val="single" w:sz="4" w:space="0" w:color="auto"/>
              <w:right w:val="single" w:sz="4" w:space="0" w:color="000000"/>
            </w:tcBorders>
            <w:shd w:val="clear" w:color="000000" w:fill="BACFF8"/>
            <w:vAlign w:val="center"/>
          </w:tcPr>
          <w:p w:rsidR="00444EB8" w:rsidRPr="00B55059" w:rsidRDefault="00444EB8" w:rsidP="00444EB8">
            <w:pPr>
              <w:spacing w:before="40" w:after="40" w:line="240" w:lineRule="auto"/>
              <w:jc w:val="center"/>
              <w:rPr>
                <w:rStyle w:val="IntenseEmphasis"/>
              </w:rPr>
            </w:pPr>
            <w:r w:rsidRPr="00B55059">
              <w:rPr>
                <w:rStyle w:val="IntenseEmphasis"/>
              </w:rPr>
              <w:t>Year Ended 30 June</w:t>
            </w:r>
          </w:p>
        </w:tc>
        <w:tc>
          <w:tcPr>
            <w:tcW w:w="2917" w:type="dxa"/>
            <w:gridSpan w:val="3"/>
            <w:tcBorders>
              <w:top w:val="single" w:sz="4" w:space="0" w:color="auto"/>
              <w:left w:val="nil"/>
              <w:bottom w:val="single" w:sz="4" w:space="0" w:color="auto"/>
              <w:right w:val="single" w:sz="4" w:space="0" w:color="000000"/>
            </w:tcBorders>
            <w:shd w:val="clear" w:color="000000" w:fill="BACFF8"/>
            <w:vAlign w:val="center"/>
          </w:tcPr>
          <w:p w:rsidR="00444EB8" w:rsidRPr="00B55059" w:rsidRDefault="00444EB8" w:rsidP="00444EB8">
            <w:pPr>
              <w:spacing w:before="40" w:after="40" w:line="240" w:lineRule="auto"/>
              <w:jc w:val="center"/>
              <w:rPr>
                <w:rStyle w:val="IntenseEmphasis"/>
              </w:rPr>
            </w:pPr>
            <w:r w:rsidRPr="00B55059">
              <w:rPr>
                <w:rStyle w:val="IntenseEmphasis"/>
              </w:rPr>
              <w:t>% annual change</w:t>
            </w:r>
          </w:p>
        </w:tc>
      </w:tr>
      <w:tr w:rsidR="00444EB8" w:rsidRPr="00CD4DB9" w:rsidTr="00444EB8">
        <w:trPr>
          <w:trHeight w:val="330"/>
          <w:jc w:val="center"/>
        </w:trPr>
        <w:tc>
          <w:tcPr>
            <w:tcW w:w="2519" w:type="dxa"/>
            <w:tcBorders>
              <w:top w:val="nil"/>
              <w:left w:val="single" w:sz="4" w:space="0" w:color="auto"/>
              <w:bottom w:val="single" w:sz="4" w:space="0" w:color="auto"/>
              <w:right w:val="single" w:sz="4" w:space="0" w:color="auto"/>
            </w:tcBorders>
            <w:shd w:val="clear" w:color="000000" w:fill="FFFFFF"/>
            <w:noWrap/>
            <w:vAlign w:val="bottom"/>
            <w:hideMark/>
          </w:tcPr>
          <w:p w:rsidR="00444EB8" w:rsidRPr="00CD4DB9" w:rsidRDefault="00444EB8" w:rsidP="003D5DCE">
            <w:pPr>
              <w:spacing w:before="40" w:after="40" w:line="240" w:lineRule="auto"/>
              <w:jc w:val="left"/>
              <w:rPr>
                <w:rFonts w:ascii="Calibri" w:hAnsi="Calibri" w:cs="Calibri"/>
                <w:color w:val="000000"/>
                <w:spacing w:val="0"/>
                <w:kern w:val="0"/>
              </w:rPr>
            </w:pPr>
            <w:r w:rsidRPr="00CD4DB9">
              <w:rPr>
                <w:rFonts w:ascii="Calibri" w:hAnsi="Calibri" w:cs="Calibri"/>
                <w:color w:val="000000"/>
                <w:spacing w:val="0"/>
                <w:kern w:val="0"/>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444EB8" w:rsidRPr="00B55059" w:rsidRDefault="00444EB8" w:rsidP="003D5DCE">
            <w:pPr>
              <w:spacing w:before="40" w:after="40" w:line="240" w:lineRule="auto"/>
              <w:jc w:val="center"/>
              <w:rPr>
                <w:rStyle w:val="IntenseEmphasis"/>
              </w:rPr>
            </w:pPr>
            <w:r>
              <w:rPr>
                <w:rStyle w:val="IntenseEmphasis"/>
              </w:rPr>
              <w:t>2012</w:t>
            </w:r>
          </w:p>
        </w:tc>
        <w:tc>
          <w:tcPr>
            <w:tcW w:w="956" w:type="dxa"/>
            <w:tcBorders>
              <w:top w:val="single" w:sz="4" w:space="0" w:color="auto"/>
              <w:left w:val="nil"/>
              <w:bottom w:val="single" w:sz="4" w:space="0" w:color="auto"/>
              <w:right w:val="single" w:sz="4" w:space="0" w:color="auto"/>
            </w:tcBorders>
            <w:shd w:val="clear" w:color="000000" w:fill="FFFFFF"/>
          </w:tcPr>
          <w:p w:rsidR="00444EB8" w:rsidRPr="00B55059" w:rsidRDefault="00444EB8" w:rsidP="003D5DCE">
            <w:pPr>
              <w:spacing w:before="40" w:after="40" w:line="240" w:lineRule="auto"/>
              <w:jc w:val="center"/>
              <w:rPr>
                <w:rStyle w:val="IntenseEmphasis"/>
              </w:rPr>
            </w:pPr>
            <w:r>
              <w:rPr>
                <w:rStyle w:val="IntenseEmphasis"/>
              </w:rPr>
              <w:t>2011</w:t>
            </w:r>
          </w:p>
        </w:tc>
        <w:tc>
          <w:tcPr>
            <w:tcW w:w="956" w:type="dxa"/>
            <w:tcBorders>
              <w:top w:val="nil"/>
              <w:left w:val="single" w:sz="4" w:space="0" w:color="auto"/>
              <w:bottom w:val="single" w:sz="4" w:space="0" w:color="auto"/>
              <w:right w:val="single" w:sz="4" w:space="0" w:color="auto"/>
            </w:tcBorders>
            <w:shd w:val="clear" w:color="000000" w:fill="FFFFFF"/>
            <w:noWrap/>
            <w:vAlign w:val="bottom"/>
            <w:hideMark/>
          </w:tcPr>
          <w:p w:rsidR="00444EB8" w:rsidRPr="00B55059" w:rsidRDefault="00444EB8" w:rsidP="003D5DCE">
            <w:pPr>
              <w:spacing w:before="40" w:after="40" w:line="240" w:lineRule="auto"/>
              <w:jc w:val="center"/>
              <w:rPr>
                <w:rStyle w:val="IntenseEmphasis"/>
              </w:rPr>
            </w:pPr>
            <w:r w:rsidRPr="00B55059">
              <w:rPr>
                <w:rStyle w:val="IntenseEmphasis"/>
              </w:rPr>
              <w:t>2010</w:t>
            </w:r>
          </w:p>
        </w:tc>
        <w:tc>
          <w:tcPr>
            <w:tcW w:w="933" w:type="dxa"/>
            <w:tcBorders>
              <w:top w:val="nil"/>
              <w:left w:val="nil"/>
              <w:bottom w:val="single" w:sz="4" w:space="0" w:color="auto"/>
              <w:right w:val="single" w:sz="4" w:space="0" w:color="auto"/>
            </w:tcBorders>
            <w:shd w:val="clear" w:color="000000" w:fill="FFFFFF"/>
            <w:noWrap/>
            <w:vAlign w:val="bottom"/>
            <w:hideMark/>
          </w:tcPr>
          <w:p w:rsidR="00444EB8" w:rsidRPr="00B55059" w:rsidRDefault="00444EB8" w:rsidP="003D5DCE">
            <w:pPr>
              <w:spacing w:before="40" w:after="40" w:line="240" w:lineRule="auto"/>
              <w:jc w:val="center"/>
              <w:rPr>
                <w:rStyle w:val="IntenseEmphasis"/>
              </w:rPr>
            </w:pPr>
            <w:r w:rsidRPr="00B55059">
              <w:rPr>
                <w:rStyle w:val="IntenseEmphasis"/>
              </w:rPr>
              <w:t>2009</w:t>
            </w:r>
          </w:p>
        </w:tc>
        <w:tc>
          <w:tcPr>
            <w:tcW w:w="980" w:type="dxa"/>
            <w:tcBorders>
              <w:top w:val="single" w:sz="4" w:space="0" w:color="auto"/>
              <w:left w:val="nil"/>
              <w:bottom w:val="single" w:sz="4" w:space="0" w:color="auto"/>
              <w:right w:val="single" w:sz="4" w:space="0" w:color="auto"/>
            </w:tcBorders>
            <w:shd w:val="clear" w:color="000000" w:fill="FFFFFF"/>
          </w:tcPr>
          <w:p w:rsidR="00444EB8" w:rsidRPr="00B55059" w:rsidRDefault="00444EB8" w:rsidP="003D5DCE">
            <w:pPr>
              <w:spacing w:before="40" w:after="40" w:line="240" w:lineRule="auto"/>
              <w:jc w:val="center"/>
              <w:rPr>
                <w:rStyle w:val="IntenseEmphasis"/>
              </w:rPr>
            </w:pPr>
            <w:r>
              <w:rPr>
                <w:rStyle w:val="IntenseEmphasis"/>
              </w:rPr>
              <w:t>2012</w:t>
            </w:r>
          </w:p>
        </w:tc>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444EB8" w:rsidRPr="00B55059" w:rsidRDefault="00444EB8" w:rsidP="003D5DCE">
            <w:pPr>
              <w:spacing w:before="40" w:after="40" w:line="240" w:lineRule="auto"/>
              <w:jc w:val="center"/>
              <w:rPr>
                <w:rStyle w:val="IntenseEmphasis"/>
              </w:rPr>
            </w:pPr>
            <w:r w:rsidRPr="00B55059">
              <w:rPr>
                <w:rStyle w:val="IntenseEmphasis"/>
              </w:rPr>
              <w:t>2011</w:t>
            </w:r>
          </w:p>
        </w:tc>
        <w:tc>
          <w:tcPr>
            <w:tcW w:w="957" w:type="dxa"/>
            <w:tcBorders>
              <w:top w:val="nil"/>
              <w:left w:val="nil"/>
              <w:bottom w:val="single" w:sz="4" w:space="0" w:color="auto"/>
              <w:right w:val="single" w:sz="4" w:space="0" w:color="auto"/>
            </w:tcBorders>
            <w:shd w:val="clear" w:color="000000" w:fill="FFFFFF"/>
            <w:noWrap/>
            <w:vAlign w:val="bottom"/>
            <w:hideMark/>
          </w:tcPr>
          <w:p w:rsidR="00444EB8" w:rsidRPr="00B55059" w:rsidRDefault="00444EB8" w:rsidP="003D5DCE">
            <w:pPr>
              <w:spacing w:before="40" w:after="40" w:line="240" w:lineRule="auto"/>
              <w:jc w:val="center"/>
              <w:rPr>
                <w:rStyle w:val="IntenseEmphasis"/>
              </w:rPr>
            </w:pPr>
            <w:r w:rsidRPr="00B55059">
              <w:rPr>
                <w:rStyle w:val="IntenseEmphasis"/>
              </w:rPr>
              <w:t>2010</w:t>
            </w:r>
          </w:p>
        </w:tc>
      </w:tr>
      <w:tr w:rsidR="00444EB8" w:rsidRPr="00CD4DB9" w:rsidTr="00444EB8">
        <w:trPr>
          <w:trHeight w:val="330"/>
          <w:jc w:val="center"/>
        </w:trPr>
        <w:tc>
          <w:tcPr>
            <w:tcW w:w="9237" w:type="dxa"/>
            <w:gridSpan w:val="8"/>
            <w:tcBorders>
              <w:top w:val="nil"/>
              <w:left w:val="single" w:sz="4" w:space="0" w:color="auto"/>
              <w:bottom w:val="single" w:sz="4" w:space="0" w:color="auto"/>
              <w:right w:val="single" w:sz="4" w:space="0" w:color="auto"/>
            </w:tcBorders>
            <w:shd w:val="clear" w:color="000000" w:fill="EBF2FA"/>
            <w:vAlign w:val="center"/>
          </w:tcPr>
          <w:p w:rsidR="00444EB8" w:rsidRPr="00B55059" w:rsidRDefault="00444EB8" w:rsidP="00444EB8">
            <w:pPr>
              <w:spacing w:before="40" w:after="40" w:line="240" w:lineRule="auto"/>
              <w:jc w:val="left"/>
              <w:rPr>
                <w:rStyle w:val="Emphasis"/>
              </w:rPr>
            </w:pPr>
            <w:r w:rsidRPr="00B55059">
              <w:rPr>
                <w:rStyle w:val="Emphasis"/>
              </w:rPr>
              <w:t>Current assets</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444EB8">
            <w:pPr>
              <w:pStyle w:val="Tabletext"/>
              <w:rPr>
                <w:rStyle w:val="SubtleEmphasis"/>
              </w:rPr>
            </w:pPr>
            <w:r w:rsidRPr="00B55059">
              <w:rPr>
                <w:rStyle w:val="SubtleEmphasis"/>
              </w:rPr>
              <w:t>Cash and equivalents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832</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2,776</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2,669</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3,897</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(70.0%)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4.0%</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(31.5%)</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rsidR="00E526BC" w:rsidRPr="00B55059" w:rsidRDefault="00E526BC" w:rsidP="00444EB8">
            <w:pPr>
              <w:pStyle w:val="Tabletext"/>
              <w:rPr>
                <w:rStyle w:val="SubtleEmphasis"/>
              </w:rPr>
            </w:pPr>
            <w:r w:rsidRPr="00B55059">
              <w:rPr>
                <w:rStyle w:val="SubtleEmphasis"/>
              </w:rPr>
              <w:t>Investments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11,250</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5,500</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5,000</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2,600</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104.5%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10.0%</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92.3%</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Receivables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3,813</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3,563</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3,162</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2,301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7.0%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12.7%</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37.4%</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Inventories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235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249</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218</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212</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(5.6%)</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14.2%</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2.8%</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Other</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0</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0</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0</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N/A</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N/A</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N/A</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Total current assets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16,135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12,088</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11,049</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9,010</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33.5%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9.4%</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22.6%</w:t>
            </w:r>
          </w:p>
        </w:tc>
      </w:tr>
      <w:tr w:rsidR="00444EB8" w:rsidRPr="00CD4DB9" w:rsidTr="00444EB8">
        <w:trPr>
          <w:trHeight w:val="330"/>
          <w:jc w:val="center"/>
        </w:trPr>
        <w:tc>
          <w:tcPr>
            <w:tcW w:w="9237" w:type="dxa"/>
            <w:gridSpan w:val="8"/>
            <w:tcBorders>
              <w:top w:val="nil"/>
              <w:left w:val="single" w:sz="4" w:space="0" w:color="auto"/>
              <w:bottom w:val="single" w:sz="4" w:space="0" w:color="auto"/>
              <w:right w:val="single" w:sz="4" w:space="0" w:color="auto"/>
            </w:tcBorders>
            <w:shd w:val="clear" w:color="000000" w:fill="EBF2FA"/>
            <w:vAlign w:val="center"/>
          </w:tcPr>
          <w:p w:rsidR="00444EB8" w:rsidRPr="00B55059" w:rsidRDefault="00444EB8" w:rsidP="00444EB8">
            <w:pPr>
              <w:spacing w:before="40" w:after="40" w:line="240" w:lineRule="auto"/>
              <w:jc w:val="left"/>
              <w:rPr>
                <w:rStyle w:val="Emphasis"/>
              </w:rPr>
            </w:pPr>
            <w:r w:rsidRPr="00B55059">
              <w:rPr>
                <w:rStyle w:val="Emphasis"/>
              </w:rPr>
              <w:t>Non-current assets</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Receivables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311</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160</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94</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110</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94.4%</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70.2%</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(14.5%)</w:t>
            </w:r>
          </w:p>
        </w:tc>
      </w:tr>
      <w:tr w:rsidR="00E526BC" w:rsidRPr="00CD4DB9" w:rsidTr="007C2CD7">
        <w:trPr>
          <w:trHeight w:val="499"/>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Infrastructure, property, plant &amp; equipment</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194,435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199,995</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186,761</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177,661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(2.8%)</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7.1%</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5.1%</w:t>
            </w:r>
          </w:p>
        </w:tc>
      </w:tr>
      <w:tr w:rsidR="00E526BC" w:rsidRPr="00CD4DB9" w:rsidTr="007C2CD7">
        <w:trPr>
          <w:trHeight w:val="36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Total non-current assets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194,746</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200,155</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186,855</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177,771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(2.7%)</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7.1%</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5.1%</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b/>
              </w:rPr>
            </w:pPr>
            <w:r w:rsidRPr="00B55059">
              <w:rPr>
                <w:rStyle w:val="SubtleEmphasis"/>
                <w:b/>
              </w:rPr>
              <w:t>Total assets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210,881</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212,243</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197,904</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186,781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(0.6%)</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7.2%</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6.0%</w:t>
            </w:r>
          </w:p>
        </w:tc>
      </w:tr>
      <w:tr w:rsidR="00444EB8" w:rsidRPr="00BA21DB" w:rsidTr="00444EB8">
        <w:trPr>
          <w:trHeight w:val="330"/>
          <w:jc w:val="center"/>
        </w:trPr>
        <w:tc>
          <w:tcPr>
            <w:tcW w:w="9237" w:type="dxa"/>
            <w:gridSpan w:val="8"/>
            <w:tcBorders>
              <w:top w:val="nil"/>
              <w:left w:val="single" w:sz="4" w:space="0" w:color="auto"/>
              <w:bottom w:val="single" w:sz="4" w:space="0" w:color="auto"/>
              <w:right w:val="single" w:sz="4" w:space="0" w:color="auto"/>
            </w:tcBorders>
            <w:shd w:val="clear" w:color="000000" w:fill="EBF2FA"/>
            <w:vAlign w:val="center"/>
          </w:tcPr>
          <w:p w:rsidR="00444EB8" w:rsidRPr="00B55059" w:rsidRDefault="00444EB8" w:rsidP="00444EB8">
            <w:pPr>
              <w:spacing w:before="40" w:after="40" w:line="240" w:lineRule="auto"/>
              <w:jc w:val="left"/>
              <w:rPr>
                <w:rStyle w:val="Emphasis"/>
              </w:rPr>
            </w:pPr>
            <w:r w:rsidRPr="00B55059">
              <w:rPr>
                <w:rStyle w:val="Emphasis"/>
              </w:rPr>
              <w:t>Current liabilities </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Payables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1,854</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1,298</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852</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1,608</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42.8%</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52.3%</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(47.0%)</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Borrowings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730</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654</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649</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527</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11.6%</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0.8%</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23.1%</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Provisions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2,945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2,126</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2,203</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2,264</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38.5%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(3.5%)</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(2.7%)</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Total current liabilities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5,529</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4,078</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3,704</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4,399</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35.6%</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10.1%</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(15.8%)</w:t>
            </w:r>
          </w:p>
        </w:tc>
      </w:tr>
      <w:tr w:rsidR="00444EB8" w:rsidRPr="00CD4DB9" w:rsidTr="00444EB8">
        <w:trPr>
          <w:trHeight w:val="313"/>
          <w:jc w:val="center"/>
        </w:trPr>
        <w:tc>
          <w:tcPr>
            <w:tcW w:w="9237" w:type="dxa"/>
            <w:gridSpan w:val="8"/>
            <w:tcBorders>
              <w:top w:val="nil"/>
              <w:left w:val="single" w:sz="4" w:space="0" w:color="auto"/>
              <w:bottom w:val="single" w:sz="4" w:space="0" w:color="auto"/>
              <w:right w:val="single" w:sz="4" w:space="0" w:color="auto"/>
            </w:tcBorders>
            <w:shd w:val="clear" w:color="000000" w:fill="EBF2FA"/>
            <w:vAlign w:val="center"/>
          </w:tcPr>
          <w:p w:rsidR="00444EB8" w:rsidRPr="00B55059" w:rsidRDefault="00444EB8" w:rsidP="00444EB8">
            <w:pPr>
              <w:spacing w:before="40" w:after="40" w:line="240" w:lineRule="auto"/>
              <w:jc w:val="left"/>
              <w:rPr>
                <w:rStyle w:val="Emphasis"/>
              </w:rPr>
            </w:pPr>
            <w:r w:rsidRPr="00B55059">
              <w:rPr>
                <w:rStyle w:val="Emphasis"/>
              </w:rPr>
              <w:t>Non-current liabilities</w:t>
            </w:r>
            <w:r w:rsidRPr="00B55059">
              <w:rPr>
                <w:rStyle w:val="Emphasis"/>
                <w:highlight w:val="white"/>
              </w:rPr>
              <w:t>  </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Borrowings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9,759</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8,531</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6,811</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5,228</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14.4%</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25.3%</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30.3%</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Provisions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3,258</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2,784</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2,978</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2,883</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17.0%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(6.5%)</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3.3%</w:t>
            </w:r>
          </w:p>
        </w:tc>
      </w:tr>
      <w:tr w:rsidR="00E526BC" w:rsidRPr="00CD4DB9" w:rsidTr="007C2CD7">
        <w:trPr>
          <w:trHeight w:val="347"/>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B55059" w:rsidRDefault="00E526BC" w:rsidP="00444EB8">
            <w:pPr>
              <w:pStyle w:val="Tabletext"/>
              <w:rPr>
                <w:rStyle w:val="SubtleEmphasis"/>
              </w:rPr>
            </w:pPr>
            <w:r w:rsidRPr="00B55059">
              <w:rPr>
                <w:rStyle w:val="SubtleEmphasis"/>
              </w:rPr>
              <w:t>Total non-current liabilities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13,017</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11,315</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9,789</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8,111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pPr>
            <w:r>
              <w:t>15.0%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pPr>
            <w:r>
              <w:t>15.6%</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pPr>
            <w:r>
              <w:t>20.7%</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893E42" w:rsidRDefault="00E526BC" w:rsidP="00444EB8">
            <w:pPr>
              <w:pStyle w:val="Tabletext"/>
              <w:rPr>
                <w:rStyle w:val="SubtleEmphasis"/>
                <w:b/>
              </w:rPr>
            </w:pPr>
            <w:r w:rsidRPr="00893E42">
              <w:rPr>
                <w:rStyle w:val="SubtleEmphasis"/>
                <w:b/>
              </w:rPr>
              <w:t>Total liabilities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18,546</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15,393</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13,493</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12,510</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20.5%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14.1%</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7.9%</w:t>
            </w:r>
          </w:p>
        </w:tc>
      </w:tr>
      <w:tr w:rsidR="00E526BC" w:rsidRPr="00CD4DB9" w:rsidTr="007C2CD7">
        <w:trPr>
          <w:trHeight w:val="330"/>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rsidR="00E526BC" w:rsidRPr="00893E42" w:rsidRDefault="00E526BC" w:rsidP="00444EB8">
            <w:pPr>
              <w:pStyle w:val="Tabletext"/>
              <w:rPr>
                <w:rStyle w:val="SubtleEmphasis"/>
                <w:b/>
              </w:rPr>
            </w:pPr>
            <w:r w:rsidRPr="00893E42">
              <w:rPr>
                <w:rStyle w:val="SubtleEmphasis"/>
                <w:b/>
              </w:rPr>
              <w:t>Net assets</w:t>
            </w:r>
          </w:p>
        </w:tc>
        <w:tc>
          <w:tcPr>
            <w:tcW w:w="956"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192,335</w:t>
            </w:r>
          </w:p>
        </w:tc>
        <w:tc>
          <w:tcPr>
            <w:tcW w:w="956"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196,850</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184,411</w:t>
            </w:r>
          </w:p>
        </w:tc>
        <w:tc>
          <w:tcPr>
            <w:tcW w:w="933"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174,271</w:t>
            </w:r>
          </w:p>
        </w:tc>
        <w:tc>
          <w:tcPr>
            <w:tcW w:w="980" w:type="dxa"/>
            <w:tcBorders>
              <w:top w:val="single" w:sz="4" w:space="0" w:color="auto"/>
              <w:left w:val="nil"/>
              <w:bottom w:val="single" w:sz="4" w:space="0" w:color="auto"/>
              <w:right w:val="single" w:sz="4" w:space="0" w:color="auto"/>
            </w:tcBorders>
            <w:vAlign w:val="bottom"/>
          </w:tcPr>
          <w:p w:rsidR="00E526BC" w:rsidRDefault="00E526BC" w:rsidP="00E526BC">
            <w:pPr>
              <w:pStyle w:val="TableNumbers"/>
              <w:rPr>
                <w:b/>
                <w:bCs/>
              </w:rPr>
            </w:pPr>
            <w:r>
              <w:rPr>
                <w:b/>
                <w:bCs/>
              </w:rPr>
              <w:t>(2.3%)</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6.7%</w:t>
            </w:r>
          </w:p>
        </w:tc>
        <w:tc>
          <w:tcPr>
            <w:tcW w:w="957" w:type="dxa"/>
            <w:tcBorders>
              <w:top w:val="nil"/>
              <w:left w:val="nil"/>
              <w:bottom w:val="single" w:sz="4" w:space="0" w:color="auto"/>
              <w:right w:val="single" w:sz="4" w:space="0" w:color="auto"/>
            </w:tcBorders>
            <w:shd w:val="clear" w:color="auto" w:fill="auto"/>
            <w:noWrap/>
            <w:vAlign w:val="bottom"/>
            <w:hideMark/>
          </w:tcPr>
          <w:p w:rsidR="00E526BC" w:rsidRDefault="00E526BC" w:rsidP="00E526BC">
            <w:pPr>
              <w:pStyle w:val="TableNumbers"/>
              <w:rPr>
                <w:b/>
                <w:bCs/>
              </w:rPr>
            </w:pPr>
            <w:r>
              <w:rPr>
                <w:b/>
                <w:bCs/>
              </w:rPr>
              <w:t>5.8%</w:t>
            </w:r>
          </w:p>
        </w:tc>
      </w:tr>
    </w:tbl>
    <w:p w:rsidR="003D5DCE" w:rsidRPr="003B6962" w:rsidRDefault="00D24DE7" w:rsidP="00DE2E88">
      <w:pPr>
        <w:pStyle w:val="Title"/>
      </w:pPr>
      <w:r>
        <w:br w:type="page"/>
      </w:r>
      <w:r w:rsidR="003B6962" w:rsidRPr="003B6962">
        <w:lastRenderedPageBreak/>
        <w:t>Table 4</w:t>
      </w:r>
      <w:r w:rsidR="003B6962">
        <w:t>-</w:t>
      </w:r>
      <w:r w:rsidR="00052A63">
        <w:t>Cashf</w:t>
      </w:r>
      <w:r w:rsidR="003D5DCE" w:rsidRPr="003B6962">
        <w:t>low</w:t>
      </w:r>
    </w:p>
    <w:tbl>
      <w:tblPr>
        <w:tblW w:w="0" w:type="auto"/>
        <w:jc w:val="center"/>
        <w:tblInd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992"/>
        <w:gridCol w:w="992"/>
        <w:gridCol w:w="992"/>
        <w:gridCol w:w="993"/>
      </w:tblGrid>
      <w:tr w:rsidR="00A2559F" w:rsidRPr="00921494" w:rsidTr="00A2559F">
        <w:trPr>
          <w:trHeight w:val="154"/>
          <w:jc w:val="center"/>
        </w:trPr>
        <w:tc>
          <w:tcPr>
            <w:tcW w:w="4531" w:type="dxa"/>
            <w:shd w:val="clear" w:color="auto" w:fill="BACFF8"/>
            <w:noWrap/>
            <w:vAlign w:val="center"/>
            <w:hideMark/>
          </w:tcPr>
          <w:p w:rsidR="00A2559F" w:rsidRPr="00661024" w:rsidRDefault="00A2559F" w:rsidP="00490328">
            <w:pPr>
              <w:pStyle w:val="TableHeading"/>
              <w:rPr>
                <w:rStyle w:val="Emphasis"/>
                <w:b/>
              </w:rPr>
            </w:pPr>
            <w:r w:rsidRPr="00661024">
              <w:rPr>
                <w:rStyle w:val="Emphasis"/>
                <w:b/>
              </w:rPr>
              <w:t>Cashflow Statement ($'000</w:t>
            </w:r>
            <w:r>
              <w:rPr>
                <w:rStyle w:val="Emphasis"/>
                <w:b/>
              </w:rPr>
              <w:t>s</w:t>
            </w:r>
            <w:r w:rsidRPr="00661024">
              <w:rPr>
                <w:rStyle w:val="Emphasis"/>
                <w:b/>
              </w:rPr>
              <w:t>)</w:t>
            </w:r>
          </w:p>
        </w:tc>
        <w:tc>
          <w:tcPr>
            <w:tcW w:w="3969" w:type="dxa"/>
            <w:gridSpan w:val="4"/>
            <w:shd w:val="clear" w:color="auto" w:fill="BACFF8"/>
          </w:tcPr>
          <w:p w:rsidR="00A2559F" w:rsidRPr="00661024" w:rsidRDefault="00A2559F" w:rsidP="00490328">
            <w:pPr>
              <w:pStyle w:val="TableHeading"/>
              <w:rPr>
                <w:rStyle w:val="IntenseEmphasis"/>
                <w:b/>
              </w:rPr>
            </w:pPr>
            <w:r w:rsidRPr="00661024">
              <w:rPr>
                <w:rStyle w:val="IntenseEmphasis"/>
                <w:b/>
              </w:rPr>
              <w:t>Year ended 30 June</w:t>
            </w:r>
          </w:p>
        </w:tc>
      </w:tr>
      <w:tr w:rsidR="00A2559F" w:rsidRPr="00921494" w:rsidTr="00444EB8">
        <w:trPr>
          <w:trHeight w:val="210"/>
          <w:jc w:val="center"/>
        </w:trPr>
        <w:tc>
          <w:tcPr>
            <w:tcW w:w="4531" w:type="dxa"/>
            <w:shd w:val="clear" w:color="auto" w:fill="FFFFFF"/>
            <w:noWrap/>
            <w:vAlign w:val="center"/>
            <w:hideMark/>
          </w:tcPr>
          <w:p w:rsidR="00A2559F" w:rsidRPr="00921494" w:rsidRDefault="00A2559F" w:rsidP="003D5DCE">
            <w:pPr>
              <w:spacing w:before="40" w:after="40"/>
              <w:rPr>
                <w:rFonts w:cs="Calibri"/>
                <w:b/>
                <w:bCs/>
                <w:color w:val="000000"/>
              </w:rPr>
            </w:pPr>
          </w:p>
        </w:tc>
        <w:tc>
          <w:tcPr>
            <w:tcW w:w="992" w:type="dxa"/>
            <w:shd w:val="clear" w:color="auto" w:fill="FFFFFF"/>
            <w:noWrap/>
            <w:vAlign w:val="center"/>
            <w:hideMark/>
          </w:tcPr>
          <w:p w:rsidR="00A2559F" w:rsidRPr="00374A23" w:rsidRDefault="00A2559F" w:rsidP="00444EB8">
            <w:pPr>
              <w:pStyle w:val="TableNumbers"/>
              <w:rPr>
                <w:rStyle w:val="IntenseEmphasis"/>
              </w:rPr>
            </w:pPr>
            <w:r w:rsidRPr="00374A23">
              <w:rPr>
                <w:rStyle w:val="IntenseEmphasis"/>
              </w:rPr>
              <w:t>201</w:t>
            </w:r>
            <w:r>
              <w:rPr>
                <w:rStyle w:val="IntenseEmphasis"/>
              </w:rPr>
              <w:t>2</w:t>
            </w:r>
          </w:p>
        </w:tc>
        <w:tc>
          <w:tcPr>
            <w:tcW w:w="992" w:type="dxa"/>
            <w:shd w:val="clear" w:color="auto" w:fill="FFFFFF"/>
          </w:tcPr>
          <w:p w:rsidR="00A2559F" w:rsidRPr="00374A23" w:rsidRDefault="00A2559F" w:rsidP="00444EB8">
            <w:pPr>
              <w:pStyle w:val="TableNumbers"/>
              <w:rPr>
                <w:rStyle w:val="IntenseEmphasis"/>
              </w:rPr>
            </w:pPr>
            <w:r>
              <w:rPr>
                <w:rStyle w:val="IntenseEmphasis"/>
              </w:rPr>
              <w:t>2011</w:t>
            </w:r>
          </w:p>
        </w:tc>
        <w:tc>
          <w:tcPr>
            <w:tcW w:w="992" w:type="dxa"/>
            <w:shd w:val="clear" w:color="auto" w:fill="FFFFFF"/>
            <w:noWrap/>
            <w:vAlign w:val="center"/>
            <w:hideMark/>
          </w:tcPr>
          <w:p w:rsidR="00A2559F" w:rsidRPr="00374A23" w:rsidRDefault="00A2559F" w:rsidP="00444EB8">
            <w:pPr>
              <w:pStyle w:val="TableNumbers"/>
              <w:rPr>
                <w:rStyle w:val="IntenseEmphasis"/>
              </w:rPr>
            </w:pPr>
            <w:r w:rsidRPr="00374A23">
              <w:rPr>
                <w:rStyle w:val="IntenseEmphasis"/>
              </w:rPr>
              <w:t>2010</w:t>
            </w:r>
          </w:p>
        </w:tc>
        <w:tc>
          <w:tcPr>
            <w:tcW w:w="993" w:type="dxa"/>
            <w:shd w:val="clear" w:color="auto" w:fill="FFFFFF"/>
            <w:noWrap/>
            <w:vAlign w:val="center"/>
            <w:hideMark/>
          </w:tcPr>
          <w:p w:rsidR="00A2559F" w:rsidRPr="00374A23" w:rsidRDefault="00A2559F" w:rsidP="00444EB8">
            <w:pPr>
              <w:pStyle w:val="TableNumbers"/>
              <w:rPr>
                <w:rStyle w:val="IntenseEmphasis"/>
              </w:rPr>
            </w:pPr>
            <w:r w:rsidRPr="00374A23">
              <w:rPr>
                <w:rStyle w:val="IntenseEmphasis"/>
              </w:rPr>
              <w:t>2009</w:t>
            </w:r>
          </w:p>
        </w:tc>
      </w:tr>
      <w:tr w:rsidR="00E526BC" w:rsidRPr="0019676C" w:rsidTr="007C2CD7">
        <w:trPr>
          <w:trHeight w:val="308"/>
          <w:jc w:val="center"/>
        </w:trPr>
        <w:tc>
          <w:tcPr>
            <w:tcW w:w="4531" w:type="dxa"/>
            <w:shd w:val="clear" w:color="auto" w:fill="auto"/>
            <w:vAlign w:val="center"/>
            <w:hideMark/>
          </w:tcPr>
          <w:p w:rsidR="00E526BC" w:rsidRPr="00B55059" w:rsidRDefault="00E526BC" w:rsidP="00661024">
            <w:pPr>
              <w:pStyle w:val="Tabletext"/>
              <w:rPr>
                <w:rStyle w:val="SubtleEmphasis"/>
              </w:rPr>
            </w:pPr>
            <w:r w:rsidRPr="00B55059">
              <w:rPr>
                <w:rStyle w:val="SubtleEmphasis"/>
              </w:rPr>
              <w:t>Cashflows from operating activities</w:t>
            </w:r>
          </w:p>
        </w:tc>
        <w:tc>
          <w:tcPr>
            <w:tcW w:w="992" w:type="dxa"/>
            <w:shd w:val="clear" w:color="auto" w:fill="auto"/>
            <w:noWrap/>
            <w:vAlign w:val="bottom"/>
            <w:hideMark/>
          </w:tcPr>
          <w:p w:rsidR="00E526BC" w:rsidRDefault="00E526BC" w:rsidP="00E526BC">
            <w:pPr>
              <w:pStyle w:val="TableNumbers"/>
            </w:pPr>
            <w:r>
              <w:t>10,538</w:t>
            </w:r>
          </w:p>
        </w:tc>
        <w:tc>
          <w:tcPr>
            <w:tcW w:w="992" w:type="dxa"/>
            <w:vAlign w:val="bottom"/>
          </w:tcPr>
          <w:p w:rsidR="00E526BC" w:rsidRDefault="00E526BC" w:rsidP="00E526BC">
            <w:pPr>
              <w:pStyle w:val="TableNumbers"/>
            </w:pPr>
            <w:r>
              <w:t>8,661</w:t>
            </w:r>
          </w:p>
        </w:tc>
        <w:tc>
          <w:tcPr>
            <w:tcW w:w="992" w:type="dxa"/>
            <w:shd w:val="clear" w:color="auto" w:fill="auto"/>
            <w:noWrap/>
            <w:vAlign w:val="bottom"/>
            <w:hideMark/>
          </w:tcPr>
          <w:p w:rsidR="00E526BC" w:rsidRDefault="00E526BC" w:rsidP="00E526BC">
            <w:pPr>
              <w:pStyle w:val="TableNumbers"/>
            </w:pPr>
            <w:r>
              <w:t>6,522</w:t>
            </w:r>
          </w:p>
        </w:tc>
        <w:tc>
          <w:tcPr>
            <w:tcW w:w="993" w:type="dxa"/>
            <w:shd w:val="clear" w:color="auto" w:fill="auto"/>
            <w:noWrap/>
            <w:vAlign w:val="bottom"/>
            <w:hideMark/>
          </w:tcPr>
          <w:p w:rsidR="00E526BC" w:rsidRDefault="00E526BC" w:rsidP="00E526BC">
            <w:pPr>
              <w:pStyle w:val="TableNumbers"/>
            </w:pPr>
            <w:r>
              <w:t>7,162</w:t>
            </w:r>
          </w:p>
        </w:tc>
      </w:tr>
      <w:tr w:rsidR="00E526BC" w:rsidRPr="0019676C" w:rsidTr="007C2CD7">
        <w:trPr>
          <w:trHeight w:val="308"/>
          <w:jc w:val="center"/>
        </w:trPr>
        <w:tc>
          <w:tcPr>
            <w:tcW w:w="4531" w:type="dxa"/>
            <w:shd w:val="clear" w:color="auto" w:fill="auto"/>
            <w:vAlign w:val="center"/>
            <w:hideMark/>
          </w:tcPr>
          <w:p w:rsidR="00E526BC" w:rsidRPr="00B55059" w:rsidRDefault="00E526BC" w:rsidP="00661024">
            <w:pPr>
              <w:pStyle w:val="Tabletext"/>
              <w:rPr>
                <w:rStyle w:val="SubtleEmphasis"/>
              </w:rPr>
            </w:pPr>
            <w:r w:rsidRPr="00B55059">
              <w:rPr>
                <w:rStyle w:val="SubtleEmphasis"/>
              </w:rPr>
              <w:t>Cashflows from investing activities</w:t>
            </w:r>
          </w:p>
        </w:tc>
        <w:tc>
          <w:tcPr>
            <w:tcW w:w="992" w:type="dxa"/>
            <w:shd w:val="clear" w:color="auto" w:fill="auto"/>
            <w:noWrap/>
            <w:vAlign w:val="bottom"/>
            <w:hideMark/>
          </w:tcPr>
          <w:p w:rsidR="00E526BC" w:rsidRDefault="00E526BC" w:rsidP="00E526BC">
            <w:pPr>
              <w:pStyle w:val="TableNumbers"/>
            </w:pPr>
            <w:r>
              <w:t>(13,786)</w:t>
            </w:r>
          </w:p>
        </w:tc>
        <w:tc>
          <w:tcPr>
            <w:tcW w:w="992" w:type="dxa"/>
            <w:vAlign w:val="bottom"/>
          </w:tcPr>
          <w:p w:rsidR="00E526BC" w:rsidRDefault="00E526BC" w:rsidP="00E526BC">
            <w:pPr>
              <w:pStyle w:val="TableNumbers"/>
            </w:pPr>
            <w:r>
              <w:t>(10,279)</w:t>
            </w:r>
          </w:p>
        </w:tc>
        <w:tc>
          <w:tcPr>
            <w:tcW w:w="992" w:type="dxa"/>
            <w:shd w:val="clear" w:color="auto" w:fill="auto"/>
            <w:noWrap/>
            <w:vAlign w:val="bottom"/>
            <w:hideMark/>
          </w:tcPr>
          <w:p w:rsidR="00E526BC" w:rsidRDefault="00E526BC" w:rsidP="00E526BC">
            <w:pPr>
              <w:pStyle w:val="TableNumbers"/>
            </w:pPr>
            <w:r>
              <w:t>(9,455)</w:t>
            </w:r>
          </w:p>
        </w:tc>
        <w:tc>
          <w:tcPr>
            <w:tcW w:w="993" w:type="dxa"/>
            <w:shd w:val="clear" w:color="auto" w:fill="auto"/>
            <w:noWrap/>
            <w:vAlign w:val="bottom"/>
            <w:hideMark/>
          </w:tcPr>
          <w:p w:rsidR="00E526BC" w:rsidRDefault="00E526BC" w:rsidP="00E526BC">
            <w:pPr>
              <w:pStyle w:val="TableNumbers"/>
            </w:pPr>
            <w:r>
              <w:t>(8,575)</w:t>
            </w:r>
          </w:p>
        </w:tc>
      </w:tr>
      <w:tr w:rsidR="00E526BC" w:rsidRPr="0019676C" w:rsidTr="007C2CD7">
        <w:trPr>
          <w:trHeight w:val="242"/>
          <w:jc w:val="center"/>
        </w:trPr>
        <w:tc>
          <w:tcPr>
            <w:tcW w:w="4531" w:type="dxa"/>
            <w:shd w:val="clear" w:color="auto" w:fill="auto"/>
            <w:vAlign w:val="center"/>
            <w:hideMark/>
          </w:tcPr>
          <w:p w:rsidR="00E526BC" w:rsidRPr="00B55059" w:rsidRDefault="00E526BC" w:rsidP="00884A67">
            <w:pPr>
              <w:pStyle w:val="Tabletext"/>
              <w:jc w:val="right"/>
              <w:rPr>
                <w:rStyle w:val="SubtleEmphasis"/>
              </w:rPr>
            </w:pPr>
            <w:r w:rsidRPr="00B55059">
              <w:rPr>
                <w:rStyle w:val="SubtleEmphasis"/>
              </w:rPr>
              <w:t>Proceeds from borrowings and advances</w:t>
            </w:r>
          </w:p>
        </w:tc>
        <w:tc>
          <w:tcPr>
            <w:tcW w:w="992" w:type="dxa"/>
            <w:shd w:val="clear" w:color="auto" w:fill="auto"/>
            <w:noWrap/>
            <w:vAlign w:val="bottom"/>
            <w:hideMark/>
          </w:tcPr>
          <w:p w:rsidR="00E526BC" w:rsidRDefault="00E526BC" w:rsidP="00E526BC">
            <w:pPr>
              <w:pStyle w:val="TableNumbers"/>
            </w:pPr>
            <w:r>
              <w:t>2,000</w:t>
            </w:r>
          </w:p>
        </w:tc>
        <w:tc>
          <w:tcPr>
            <w:tcW w:w="992" w:type="dxa"/>
            <w:vAlign w:val="bottom"/>
          </w:tcPr>
          <w:p w:rsidR="00E526BC" w:rsidRDefault="00E526BC" w:rsidP="00E526BC">
            <w:pPr>
              <w:pStyle w:val="TableNumbers"/>
            </w:pPr>
            <w:r>
              <w:t>2,400</w:t>
            </w:r>
          </w:p>
        </w:tc>
        <w:tc>
          <w:tcPr>
            <w:tcW w:w="992" w:type="dxa"/>
            <w:shd w:val="clear" w:color="auto" w:fill="auto"/>
            <w:noWrap/>
            <w:vAlign w:val="bottom"/>
            <w:hideMark/>
          </w:tcPr>
          <w:p w:rsidR="00E526BC" w:rsidRDefault="00E526BC" w:rsidP="00E526BC">
            <w:pPr>
              <w:pStyle w:val="TableNumbers"/>
            </w:pPr>
            <w:r>
              <w:t>2,350</w:t>
            </w:r>
          </w:p>
        </w:tc>
        <w:tc>
          <w:tcPr>
            <w:tcW w:w="993" w:type="dxa"/>
            <w:shd w:val="clear" w:color="auto" w:fill="auto"/>
            <w:noWrap/>
            <w:vAlign w:val="bottom"/>
            <w:hideMark/>
          </w:tcPr>
          <w:p w:rsidR="00E526BC" w:rsidRDefault="00E526BC" w:rsidP="00E526BC">
            <w:pPr>
              <w:pStyle w:val="TableNumbers"/>
            </w:pPr>
            <w:r>
              <w:t>915</w:t>
            </w:r>
          </w:p>
        </w:tc>
      </w:tr>
      <w:tr w:rsidR="00E526BC" w:rsidRPr="0019676C" w:rsidTr="007C2CD7">
        <w:trPr>
          <w:trHeight w:val="317"/>
          <w:jc w:val="center"/>
        </w:trPr>
        <w:tc>
          <w:tcPr>
            <w:tcW w:w="4531" w:type="dxa"/>
            <w:shd w:val="clear" w:color="auto" w:fill="auto"/>
            <w:vAlign w:val="center"/>
            <w:hideMark/>
          </w:tcPr>
          <w:p w:rsidR="00E526BC" w:rsidRPr="00B55059" w:rsidRDefault="00E526BC" w:rsidP="00884A67">
            <w:pPr>
              <w:pStyle w:val="Tabletext"/>
              <w:jc w:val="right"/>
              <w:rPr>
                <w:rStyle w:val="SubtleEmphasis"/>
              </w:rPr>
            </w:pPr>
            <w:r w:rsidRPr="00B55059">
              <w:rPr>
                <w:rStyle w:val="SubtleEmphasis"/>
              </w:rPr>
              <w:t>Repayment of borrowings and advances</w:t>
            </w:r>
          </w:p>
        </w:tc>
        <w:tc>
          <w:tcPr>
            <w:tcW w:w="992" w:type="dxa"/>
            <w:shd w:val="clear" w:color="auto" w:fill="auto"/>
            <w:noWrap/>
            <w:vAlign w:val="bottom"/>
            <w:hideMark/>
          </w:tcPr>
          <w:p w:rsidR="00E526BC" w:rsidRDefault="00E526BC" w:rsidP="00E526BC">
            <w:pPr>
              <w:pStyle w:val="TableNumbers"/>
            </w:pPr>
            <w:r>
              <w:t>(696)</w:t>
            </w:r>
          </w:p>
        </w:tc>
        <w:tc>
          <w:tcPr>
            <w:tcW w:w="992" w:type="dxa"/>
            <w:vAlign w:val="bottom"/>
          </w:tcPr>
          <w:p w:rsidR="00E526BC" w:rsidRDefault="00E526BC" w:rsidP="00E526BC">
            <w:pPr>
              <w:pStyle w:val="TableNumbers"/>
            </w:pPr>
            <w:r>
              <w:t>(675)</w:t>
            </w:r>
          </w:p>
        </w:tc>
        <w:tc>
          <w:tcPr>
            <w:tcW w:w="992" w:type="dxa"/>
            <w:shd w:val="clear" w:color="auto" w:fill="auto"/>
            <w:noWrap/>
            <w:vAlign w:val="bottom"/>
            <w:hideMark/>
          </w:tcPr>
          <w:p w:rsidR="00E526BC" w:rsidRDefault="00E526BC" w:rsidP="00E526BC">
            <w:pPr>
              <w:pStyle w:val="TableNumbers"/>
            </w:pPr>
            <w:r>
              <w:t>(645)</w:t>
            </w:r>
          </w:p>
        </w:tc>
        <w:tc>
          <w:tcPr>
            <w:tcW w:w="993" w:type="dxa"/>
            <w:shd w:val="clear" w:color="auto" w:fill="auto"/>
            <w:noWrap/>
            <w:vAlign w:val="bottom"/>
            <w:hideMark/>
          </w:tcPr>
          <w:p w:rsidR="00E526BC" w:rsidRDefault="00E526BC" w:rsidP="00E526BC">
            <w:pPr>
              <w:pStyle w:val="TableNumbers"/>
            </w:pPr>
            <w:r>
              <w:t>(571)</w:t>
            </w:r>
          </w:p>
        </w:tc>
      </w:tr>
      <w:tr w:rsidR="00E526BC" w:rsidRPr="0019676C" w:rsidTr="007C2CD7">
        <w:trPr>
          <w:trHeight w:val="308"/>
          <w:jc w:val="center"/>
        </w:trPr>
        <w:tc>
          <w:tcPr>
            <w:tcW w:w="4531" w:type="dxa"/>
            <w:shd w:val="clear" w:color="auto" w:fill="auto"/>
            <w:vAlign w:val="center"/>
            <w:hideMark/>
          </w:tcPr>
          <w:p w:rsidR="00E526BC" w:rsidRPr="00B55059" w:rsidRDefault="00E526BC" w:rsidP="00661024">
            <w:pPr>
              <w:pStyle w:val="Tabletext"/>
              <w:rPr>
                <w:rStyle w:val="SubtleEmphasis"/>
              </w:rPr>
            </w:pPr>
            <w:r w:rsidRPr="00B55059">
              <w:rPr>
                <w:rStyle w:val="SubtleEmphasis"/>
              </w:rPr>
              <w:t>Cashflows from financing activities</w:t>
            </w:r>
          </w:p>
        </w:tc>
        <w:tc>
          <w:tcPr>
            <w:tcW w:w="992" w:type="dxa"/>
            <w:shd w:val="clear" w:color="auto" w:fill="auto"/>
            <w:noWrap/>
            <w:vAlign w:val="bottom"/>
            <w:hideMark/>
          </w:tcPr>
          <w:p w:rsidR="00E526BC" w:rsidRDefault="00E526BC" w:rsidP="00E526BC">
            <w:pPr>
              <w:pStyle w:val="TableNumbers"/>
            </w:pPr>
            <w:r>
              <w:t>1,304</w:t>
            </w:r>
          </w:p>
        </w:tc>
        <w:tc>
          <w:tcPr>
            <w:tcW w:w="992" w:type="dxa"/>
            <w:vAlign w:val="bottom"/>
          </w:tcPr>
          <w:p w:rsidR="00E526BC" w:rsidRDefault="00E526BC" w:rsidP="00E526BC">
            <w:pPr>
              <w:pStyle w:val="TableNumbers"/>
            </w:pPr>
            <w:r>
              <w:t>1,725</w:t>
            </w:r>
          </w:p>
        </w:tc>
        <w:tc>
          <w:tcPr>
            <w:tcW w:w="992" w:type="dxa"/>
            <w:shd w:val="clear" w:color="auto" w:fill="auto"/>
            <w:noWrap/>
            <w:vAlign w:val="bottom"/>
            <w:hideMark/>
          </w:tcPr>
          <w:p w:rsidR="00E526BC" w:rsidRDefault="00E526BC" w:rsidP="00E526BC">
            <w:pPr>
              <w:pStyle w:val="TableNumbers"/>
            </w:pPr>
            <w:r>
              <w:t>1,705</w:t>
            </w:r>
          </w:p>
        </w:tc>
        <w:tc>
          <w:tcPr>
            <w:tcW w:w="993" w:type="dxa"/>
            <w:shd w:val="clear" w:color="auto" w:fill="auto"/>
            <w:noWrap/>
            <w:vAlign w:val="bottom"/>
            <w:hideMark/>
          </w:tcPr>
          <w:p w:rsidR="00E526BC" w:rsidRDefault="00E526BC" w:rsidP="00E526BC">
            <w:pPr>
              <w:pStyle w:val="TableNumbers"/>
            </w:pPr>
            <w:r>
              <w:t>344</w:t>
            </w:r>
          </w:p>
        </w:tc>
      </w:tr>
      <w:tr w:rsidR="00E526BC" w:rsidRPr="0019676C" w:rsidTr="007C2CD7">
        <w:trPr>
          <w:trHeight w:val="355"/>
          <w:jc w:val="center"/>
        </w:trPr>
        <w:tc>
          <w:tcPr>
            <w:tcW w:w="4531" w:type="dxa"/>
            <w:shd w:val="clear" w:color="auto" w:fill="auto"/>
            <w:vAlign w:val="center"/>
            <w:hideMark/>
          </w:tcPr>
          <w:p w:rsidR="00E526BC" w:rsidRPr="00893E42" w:rsidRDefault="00E526BC" w:rsidP="00661024">
            <w:pPr>
              <w:pStyle w:val="Tabletext"/>
              <w:rPr>
                <w:rStyle w:val="SubtleEmphasis"/>
                <w:b/>
              </w:rPr>
            </w:pPr>
            <w:r w:rsidRPr="00893E42">
              <w:rPr>
                <w:rStyle w:val="SubtleEmphasis"/>
                <w:b/>
              </w:rPr>
              <w:t>Net increase/(decrease) in cash and equivalents</w:t>
            </w:r>
          </w:p>
        </w:tc>
        <w:tc>
          <w:tcPr>
            <w:tcW w:w="992" w:type="dxa"/>
            <w:shd w:val="clear" w:color="auto" w:fill="auto"/>
            <w:noWrap/>
            <w:vAlign w:val="bottom"/>
            <w:hideMark/>
          </w:tcPr>
          <w:p w:rsidR="00E526BC" w:rsidRDefault="00E526BC" w:rsidP="00E526BC">
            <w:pPr>
              <w:pStyle w:val="TableNumbers"/>
              <w:rPr>
                <w:b/>
                <w:bCs/>
              </w:rPr>
            </w:pPr>
            <w:r>
              <w:rPr>
                <w:b/>
                <w:bCs/>
              </w:rPr>
              <w:t>(1,944)</w:t>
            </w:r>
          </w:p>
        </w:tc>
        <w:tc>
          <w:tcPr>
            <w:tcW w:w="992" w:type="dxa"/>
            <w:vAlign w:val="bottom"/>
          </w:tcPr>
          <w:p w:rsidR="00E526BC" w:rsidRDefault="00E526BC" w:rsidP="00E526BC">
            <w:pPr>
              <w:pStyle w:val="TableNumbers"/>
              <w:rPr>
                <w:b/>
                <w:bCs/>
              </w:rPr>
            </w:pPr>
            <w:r>
              <w:rPr>
                <w:b/>
                <w:bCs/>
              </w:rPr>
              <w:t>107</w:t>
            </w:r>
          </w:p>
        </w:tc>
        <w:tc>
          <w:tcPr>
            <w:tcW w:w="992" w:type="dxa"/>
            <w:shd w:val="clear" w:color="auto" w:fill="auto"/>
            <w:noWrap/>
            <w:vAlign w:val="bottom"/>
            <w:hideMark/>
          </w:tcPr>
          <w:p w:rsidR="00E526BC" w:rsidRDefault="00E526BC" w:rsidP="00E526BC">
            <w:pPr>
              <w:pStyle w:val="TableNumbers"/>
              <w:rPr>
                <w:b/>
                <w:bCs/>
              </w:rPr>
            </w:pPr>
            <w:r>
              <w:rPr>
                <w:b/>
                <w:bCs/>
              </w:rPr>
              <w:t>(1,228)</w:t>
            </w:r>
          </w:p>
        </w:tc>
        <w:tc>
          <w:tcPr>
            <w:tcW w:w="993" w:type="dxa"/>
            <w:shd w:val="clear" w:color="auto" w:fill="auto"/>
            <w:noWrap/>
            <w:vAlign w:val="bottom"/>
            <w:hideMark/>
          </w:tcPr>
          <w:p w:rsidR="00E526BC" w:rsidRDefault="00E526BC" w:rsidP="00E526BC">
            <w:pPr>
              <w:pStyle w:val="TableNumbers"/>
              <w:rPr>
                <w:b/>
                <w:bCs/>
              </w:rPr>
            </w:pPr>
            <w:r>
              <w:rPr>
                <w:b/>
                <w:bCs/>
              </w:rPr>
              <w:t>(1,069)</w:t>
            </w:r>
          </w:p>
        </w:tc>
      </w:tr>
      <w:tr w:rsidR="00E526BC" w:rsidRPr="0019676C" w:rsidTr="007C2CD7">
        <w:trPr>
          <w:trHeight w:val="154"/>
          <w:jc w:val="center"/>
        </w:trPr>
        <w:tc>
          <w:tcPr>
            <w:tcW w:w="4531" w:type="dxa"/>
            <w:shd w:val="clear" w:color="auto" w:fill="auto"/>
            <w:noWrap/>
            <w:vAlign w:val="center"/>
            <w:hideMark/>
          </w:tcPr>
          <w:p w:rsidR="00E526BC" w:rsidRPr="00B55059" w:rsidRDefault="00E526BC" w:rsidP="00661024">
            <w:pPr>
              <w:pStyle w:val="Tabletext"/>
              <w:rPr>
                <w:rStyle w:val="SubtleEmphasis"/>
              </w:rPr>
            </w:pPr>
            <w:r w:rsidRPr="00B55059">
              <w:rPr>
                <w:rStyle w:val="SubtleEmphasis"/>
              </w:rPr>
              <w:t>Cash and equivalents</w:t>
            </w:r>
          </w:p>
        </w:tc>
        <w:tc>
          <w:tcPr>
            <w:tcW w:w="992" w:type="dxa"/>
            <w:shd w:val="clear" w:color="auto" w:fill="auto"/>
            <w:noWrap/>
            <w:vAlign w:val="bottom"/>
            <w:hideMark/>
          </w:tcPr>
          <w:p w:rsidR="00E526BC" w:rsidRDefault="00E526BC" w:rsidP="00E526BC">
            <w:pPr>
              <w:pStyle w:val="TableNumbers"/>
            </w:pPr>
            <w:r>
              <w:t>832</w:t>
            </w:r>
          </w:p>
        </w:tc>
        <w:tc>
          <w:tcPr>
            <w:tcW w:w="992" w:type="dxa"/>
            <w:vAlign w:val="bottom"/>
          </w:tcPr>
          <w:p w:rsidR="00E526BC" w:rsidRDefault="00E526BC" w:rsidP="00E526BC">
            <w:pPr>
              <w:pStyle w:val="TableNumbers"/>
            </w:pPr>
            <w:r>
              <w:t>2,776</w:t>
            </w:r>
          </w:p>
        </w:tc>
        <w:tc>
          <w:tcPr>
            <w:tcW w:w="992" w:type="dxa"/>
            <w:shd w:val="clear" w:color="auto" w:fill="auto"/>
            <w:noWrap/>
            <w:vAlign w:val="bottom"/>
            <w:hideMark/>
          </w:tcPr>
          <w:p w:rsidR="00E526BC" w:rsidRDefault="00E526BC" w:rsidP="00E526BC">
            <w:pPr>
              <w:pStyle w:val="TableNumbers"/>
            </w:pPr>
            <w:r>
              <w:t>2,669</w:t>
            </w:r>
          </w:p>
        </w:tc>
        <w:tc>
          <w:tcPr>
            <w:tcW w:w="993" w:type="dxa"/>
            <w:shd w:val="clear" w:color="auto" w:fill="auto"/>
            <w:noWrap/>
            <w:vAlign w:val="bottom"/>
            <w:hideMark/>
          </w:tcPr>
          <w:p w:rsidR="00E526BC" w:rsidRDefault="00E526BC" w:rsidP="00E526BC">
            <w:pPr>
              <w:pStyle w:val="TableNumbers"/>
            </w:pPr>
            <w:r>
              <w:t>3,897</w:t>
            </w:r>
          </w:p>
        </w:tc>
      </w:tr>
    </w:tbl>
    <w:p w:rsidR="003D5DCE" w:rsidRPr="0019676C" w:rsidRDefault="003D5DCE" w:rsidP="003D5DCE">
      <w:pPr>
        <w:autoSpaceDE w:val="0"/>
        <w:autoSpaceDN w:val="0"/>
        <w:adjustRightInd w:val="0"/>
        <w:spacing w:before="0" w:after="0" w:line="240" w:lineRule="auto"/>
        <w:jc w:val="left"/>
        <w:rPr>
          <w:rFonts w:cs="Calibri"/>
          <w:color w:val="000000"/>
          <w:spacing w:val="0"/>
          <w:kern w:val="0"/>
          <w:lang w:eastAsia="en-US"/>
        </w:rPr>
      </w:pPr>
    </w:p>
    <w:p w:rsidR="00884A67" w:rsidRDefault="00884A67">
      <w:pPr>
        <w:spacing w:before="0" w:after="0" w:line="240" w:lineRule="auto"/>
        <w:jc w:val="left"/>
        <w:rPr>
          <w:b/>
        </w:rPr>
      </w:pPr>
      <w:r>
        <w:rPr>
          <w:b/>
        </w:rPr>
        <w:br w:type="page"/>
      </w:r>
    </w:p>
    <w:p w:rsidR="00884A67" w:rsidRPr="00893E42" w:rsidRDefault="00884A67" w:rsidP="00884A67">
      <w:pPr>
        <w:pStyle w:val="Heading1"/>
      </w:pPr>
      <w:bookmarkStart w:id="77" w:name="_Toc330915507"/>
      <w:bookmarkStart w:id="78" w:name="_Toc334702531"/>
      <w:r>
        <w:lastRenderedPageBreak/>
        <w:t>Appendix B</w:t>
      </w:r>
      <w:r>
        <w:tab/>
        <w:t>Glossary</w:t>
      </w:r>
      <w:bookmarkEnd w:id="77"/>
      <w:bookmarkEnd w:id="78"/>
    </w:p>
    <w:p w:rsidR="00884A67" w:rsidRDefault="00884A67" w:rsidP="00884A67">
      <w:pPr>
        <w:rPr>
          <w:u w:val="single"/>
        </w:rPr>
      </w:pPr>
      <w:r>
        <w:rPr>
          <w:u w:val="single"/>
        </w:rPr>
        <w:t>Asset Revaluations</w:t>
      </w:r>
    </w:p>
    <w:p w:rsidR="00884A67" w:rsidRDefault="00884A67" w:rsidP="00884A67">
      <w:pPr>
        <w:autoSpaceDE w:val="0"/>
        <w:autoSpaceDN w:val="0"/>
        <w:adjustRightInd w:val="0"/>
        <w:rPr>
          <w:rFonts w:cs="Arial"/>
        </w:rPr>
      </w:pPr>
      <w:r w:rsidRPr="00A8536E">
        <w:rPr>
          <w:rFonts w:cs="Arial"/>
        </w:rPr>
        <w:t>In assessing the financial sustainability of NSW councils, IPART found that not all councils reported assets at fair value.</w:t>
      </w:r>
      <w:r w:rsidRPr="00A8536E">
        <w:rPr>
          <w:rStyle w:val="FootnoteReference"/>
          <w:rFonts w:cs="Arial"/>
        </w:rPr>
        <w:footnoteReference w:id="1"/>
      </w:r>
      <w:r w:rsidRPr="00A8536E">
        <w:rPr>
          <w:rFonts w:cs="Arial"/>
        </w:rPr>
        <w:t xml:space="preserve"> In a circular to all councils in March 2009</w:t>
      </w:r>
      <w:r w:rsidRPr="00A8536E">
        <w:rPr>
          <w:rStyle w:val="FootnoteReference"/>
          <w:rFonts w:cs="Arial"/>
        </w:rPr>
        <w:footnoteReference w:id="2"/>
      </w:r>
      <w:r>
        <w:rPr>
          <w:rFonts w:cs="Arial"/>
        </w:rPr>
        <w:t>,</w:t>
      </w:r>
      <w:r w:rsidRPr="00A8536E">
        <w:rPr>
          <w:rFonts w:cs="Arial"/>
        </w:rPr>
        <w:t xml:space="preserve"> DLG required all NSW councils to revalue their infrastructure assets to recognise the fair value of these </w:t>
      </w:r>
      <w:r>
        <w:rPr>
          <w:rFonts w:cs="Arial"/>
        </w:rPr>
        <w:t>assets by the end of the 2009/</w:t>
      </w:r>
      <w:r w:rsidRPr="00A8536E">
        <w:rPr>
          <w:rFonts w:cs="Arial"/>
        </w:rPr>
        <w:t>10 financial year</w:t>
      </w:r>
      <w:r>
        <w:rPr>
          <w:rFonts w:cs="Arial"/>
        </w:rPr>
        <w:t>.</w:t>
      </w:r>
    </w:p>
    <w:p w:rsidR="00884A67" w:rsidRDefault="00884A67" w:rsidP="00884A67">
      <w:pPr>
        <w:rPr>
          <w:u w:val="single"/>
        </w:rPr>
      </w:pPr>
      <w:r w:rsidRPr="00832E23">
        <w:rPr>
          <w:u w:val="single"/>
        </w:rPr>
        <w:t>Collaterali</w:t>
      </w:r>
      <w:r>
        <w:rPr>
          <w:u w:val="single"/>
        </w:rPr>
        <w:t>s</w:t>
      </w:r>
      <w:r w:rsidRPr="00832E23">
        <w:rPr>
          <w:u w:val="single"/>
        </w:rPr>
        <w:t xml:space="preserve">ed Debt Obligation </w:t>
      </w:r>
      <w:r>
        <w:rPr>
          <w:u w:val="single"/>
        </w:rPr>
        <w:t>(</w:t>
      </w:r>
      <w:r w:rsidRPr="00832E23">
        <w:rPr>
          <w:u w:val="single"/>
        </w:rPr>
        <w:t>CDO</w:t>
      </w:r>
      <w:r>
        <w:rPr>
          <w:u w:val="single"/>
        </w:rPr>
        <w:t>)</w:t>
      </w:r>
    </w:p>
    <w:p w:rsidR="00884A67" w:rsidRPr="00155E77" w:rsidRDefault="00884A67" w:rsidP="00884A67">
      <w:pPr>
        <w:autoSpaceDE w:val="0"/>
        <w:autoSpaceDN w:val="0"/>
        <w:adjustRightInd w:val="0"/>
        <w:rPr>
          <w:rFonts w:cs="Arial"/>
        </w:rPr>
      </w:pPr>
      <w:r w:rsidRPr="00155E77">
        <w:rPr>
          <w:rFonts w:cs="Arial"/>
        </w:rPr>
        <w:t xml:space="preserve">CDOs are structured financial securities that </w:t>
      </w:r>
      <w:hyperlink r:id="rId36" w:history="1">
        <w:r w:rsidRPr="00155E77">
          <w:rPr>
            <w:rFonts w:cs="Arial"/>
          </w:rPr>
          <w:t>banks</w:t>
        </w:r>
      </w:hyperlink>
      <w:r w:rsidRPr="00155E77">
        <w:rPr>
          <w:rFonts w:cs="Arial"/>
        </w:rPr>
        <w:t xml:space="preserve"> use to repackage individual loans into a product that can be sold to investors on the secondary market.</w:t>
      </w:r>
    </w:p>
    <w:p w:rsidR="00884A67" w:rsidRPr="00155E77" w:rsidRDefault="00884A67" w:rsidP="00884A67">
      <w:pPr>
        <w:autoSpaceDE w:val="0"/>
        <w:autoSpaceDN w:val="0"/>
        <w:adjustRightInd w:val="0"/>
        <w:rPr>
          <w:rFonts w:cs="Arial"/>
        </w:rPr>
      </w:pPr>
      <w:r w:rsidRPr="00155E77">
        <w:rPr>
          <w:rFonts w:cs="Arial"/>
        </w:rPr>
        <w:t>In 2007 concerns were heightened in relation to the decline in the “sub-prime” mortgage market in the USA and possible exposure of some NSW councils, holding CDOs and other structured investment products, to losses.</w:t>
      </w:r>
    </w:p>
    <w:p w:rsidR="00884A67" w:rsidRPr="00155E77" w:rsidRDefault="00884A67" w:rsidP="00884A67">
      <w:pPr>
        <w:autoSpaceDE w:val="0"/>
        <w:autoSpaceDN w:val="0"/>
        <w:adjustRightInd w:val="0"/>
        <w:rPr>
          <w:rFonts w:cs="Arial"/>
        </w:rPr>
      </w:pPr>
      <w:r w:rsidRPr="00155E77">
        <w:rPr>
          <w:rFonts w:cs="Arial"/>
        </w:rPr>
        <w:t>In order to clarify the exposure of NSW councils to any losses, a review was conducted by the DLG with representatives from the Department of Premier and Cabinet and NSW Treasury.</w:t>
      </w:r>
    </w:p>
    <w:p w:rsidR="00884A67" w:rsidRPr="00155E77" w:rsidRDefault="00884A67" w:rsidP="00884A67">
      <w:pPr>
        <w:autoSpaceDE w:val="0"/>
        <w:autoSpaceDN w:val="0"/>
        <w:adjustRightInd w:val="0"/>
        <w:rPr>
          <w:rFonts w:cs="Arial"/>
        </w:rPr>
      </w:pPr>
      <w:r w:rsidRPr="00155E77">
        <w:rPr>
          <w:rFonts w:cs="Arial"/>
        </w:rPr>
        <w:t>A revised Ministerial investment Order was released by the DLG on 18 August 2008 in response to the review, suspending investments in CDOs, with transitional provisions to provide for existing investments.</w:t>
      </w:r>
    </w:p>
    <w:p w:rsidR="00884A67" w:rsidRPr="00155E77" w:rsidRDefault="00884A67" w:rsidP="00884A67">
      <w:pPr>
        <w:rPr>
          <w:u w:val="single"/>
        </w:rPr>
      </w:pPr>
      <w:r w:rsidRPr="00155E77">
        <w:rPr>
          <w:u w:val="single"/>
        </w:rPr>
        <w:t>Division of Local Government (DLG)</w:t>
      </w:r>
    </w:p>
    <w:p w:rsidR="00884A67" w:rsidRPr="00155E77" w:rsidRDefault="00884A67" w:rsidP="00884A67">
      <w:pPr>
        <w:autoSpaceDE w:val="0"/>
        <w:autoSpaceDN w:val="0"/>
        <w:adjustRightInd w:val="0"/>
        <w:rPr>
          <w:rFonts w:cs="Arial"/>
        </w:rPr>
      </w:pPr>
      <w:r w:rsidRPr="00155E77">
        <w:rPr>
          <w:rFonts w:cs="Arial"/>
        </w:rPr>
        <w:t>DLG is a division of the NSW Department of Premier and Cabinet and is responsible for local government across NSW.  DLG’s organisational purpose is “to strengthen the local government sector” and its organisational outcome is “successful councils engaging and supporting their communities”.  Operating within several strategic objectives DLG has a policy, legislative, investigative and program focus in matters ranging from local government finance, infrastructure, governance, performance, collaboration and community engagement.  DLG strives to work collaboratively with the local government sector and is the key adviser to the NSW Government on local government matters.</w:t>
      </w:r>
    </w:p>
    <w:p w:rsidR="00884A67" w:rsidRDefault="00884A67" w:rsidP="00884A67">
      <w:pPr>
        <w:rPr>
          <w:u w:val="single"/>
        </w:rPr>
      </w:pPr>
      <w:r>
        <w:rPr>
          <w:u w:val="single"/>
        </w:rPr>
        <w:t>Depreciation of Infrastructure Assets</w:t>
      </w:r>
    </w:p>
    <w:p w:rsidR="00884A67" w:rsidRDefault="00884A67" w:rsidP="00884A67">
      <w:pPr>
        <w:autoSpaceDE w:val="0"/>
        <w:autoSpaceDN w:val="0"/>
        <w:adjustRightInd w:val="0"/>
        <w:rPr>
          <w:rFonts w:cs="Arial"/>
        </w:rPr>
      </w:pPr>
      <w:r>
        <w:rPr>
          <w:rFonts w:cs="Arial"/>
        </w:rPr>
        <w:t xml:space="preserve">Linked to the asset revaluations process stated above, </w:t>
      </w:r>
      <w:r w:rsidRPr="00A8536E">
        <w:rPr>
          <w:rFonts w:cs="Arial"/>
        </w:rPr>
        <w:t>IPART’s analysis of case study councils found that this revaluation process resulted in sharp increases in the value of some council’s assets</w:t>
      </w:r>
      <w:r>
        <w:rPr>
          <w:rFonts w:cs="Arial"/>
        </w:rPr>
        <w:t xml:space="preserve">.  </w:t>
      </w:r>
      <w:r w:rsidRPr="00A8536E">
        <w:rPr>
          <w:rFonts w:cs="Arial"/>
        </w:rPr>
        <w:t>In some cases this has led to significantly higher depreciation charges</w:t>
      </w:r>
      <w:r>
        <w:rPr>
          <w:rFonts w:cs="Arial"/>
        </w:rPr>
        <w:t>,</w:t>
      </w:r>
      <w:r w:rsidRPr="00A8536E">
        <w:rPr>
          <w:rFonts w:cs="Arial"/>
        </w:rPr>
        <w:t xml:space="preserve"> and will contribute to higher reported operating deficits.</w:t>
      </w:r>
    </w:p>
    <w:p w:rsidR="00884A67" w:rsidRDefault="00884A67" w:rsidP="00884A67">
      <w:pPr>
        <w:rPr>
          <w:rFonts w:cs="Arial"/>
          <w:u w:val="single"/>
        </w:rPr>
      </w:pPr>
      <w:r>
        <w:rPr>
          <w:rFonts w:cs="Arial"/>
          <w:u w:val="single"/>
        </w:rPr>
        <w:lastRenderedPageBreak/>
        <w:t>EBITDA</w:t>
      </w:r>
    </w:p>
    <w:p w:rsidR="00884A67" w:rsidRDefault="00884A67" w:rsidP="00884A67">
      <w:pPr>
        <w:autoSpaceDE w:val="0"/>
        <w:autoSpaceDN w:val="0"/>
        <w:adjustRightInd w:val="0"/>
        <w:rPr>
          <w:rFonts w:cs="Arial"/>
        </w:rPr>
      </w:pPr>
      <w:r w:rsidRPr="00A8536E">
        <w:rPr>
          <w:rFonts w:cs="Arial"/>
        </w:rPr>
        <w:t xml:space="preserve">EBITDA is an </w:t>
      </w:r>
      <w:hyperlink r:id="rId37" w:tooltip="Acronym" w:history="1">
        <w:r w:rsidRPr="00A8536E">
          <w:rPr>
            <w:rFonts w:cs="Arial"/>
          </w:rPr>
          <w:t>acronym</w:t>
        </w:r>
      </w:hyperlink>
      <w:r w:rsidRPr="00A8536E">
        <w:rPr>
          <w:rFonts w:cs="Arial"/>
        </w:rPr>
        <w:t xml:space="preserve"> for </w:t>
      </w:r>
      <w:r>
        <w:rPr>
          <w:rFonts w:cs="Arial"/>
        </w:rPr>
        <w:t>“</w:t>
      </w:r>
      <w:hyperlink r:id="rId38" w:tooltip="Profit (accounting)" w:history="1">
        <w:r w:rsidRPr="00A8536E">
          <w:rPr>
            <w:rFonts w:cs="Arial"/>
          </w:rPr>
          <w:t>earnings</w:t>
        </w:r>
      </w:hyperlink>
      <w:r w:rsidRPr="00A8536E">
        <w:rPr>
          <w:rFonts w:cs="Arial"/>
        </w:rPr>
        <w:t xml:space="preserve"> before </w:t>
      </w:r>
      <w:hyperlink r:id="rId39" w:tooltip="Interest" w:history="1">
        <w:r w:rsidRPr="00A8536E">
          <w:rPr>
            <w:rFonts w:cs="Arial"/>
          </w:rPr>
          <w:t>interest</w:t>
        </w:r>
      </w:hyperlink>
      <w:r w:rsidRPr="00A8536E">
        <w:rPr>
          <w:rFonts w:cs="Arial"/>
        </w:rPr>
        <w:t xml:space="preserve">, </w:t>
      </w:r>
      <w:hyperlink r:id="rId40" w:tooltip="Taxes" w:history="1">
        <w:r w:rsidRPr="00A8536E">
          <w:rPr>
            <w:rFonts w:cs="Arial"/>
          </w:rPr>
          <w:t>taxes</w:t>
        </w:r>
      </w:hyperlink>
      <w:r w:rsidRPr="00A8536E">
        <w:rPr>
          <w:rFonts w:cs="Arial"/>
        </w:rPr>
        <w:t xml:space="preserve">, </w:t>
      </w:r>
      <w:hyperlink r:id="rId41" w:tooltip="Depreciation" w:history="1">
        <w:r w:rsidRPr="00A8536E">
          <w:rPr>
            <w:rFonts w:cs="Arial"/>
          </w:rPr>
          <w:t>depreciation</w:t>
        </w:r>
      </w:hyperlink>
      <w:r w:rsidRPr="00A8536E">
        <w:rPr>
          <w:rFonts w:cs="Arial"/>
        </w:rPr>
        <w:t xml:space="preserve">, and </w:t>
      </w:r>
      <w:hyperlink r:id="rId42" w:tooltip="Amortization (tax law)" w:history="1">
        <w:r>
          <w:rPr>
            <w:rFonts w:cs="Arial"/>
          </w:rPr>
          <w:t>amortis</w:t>
        </w:r>
        <w:r w:rsidRPr="00A8536E">
          <w:rPr>
            <w:rFonts w:cs="Arial"/>
          </w:rPr>
          <w:t>ation</w:t>
        </w:r>
      </w:hyperlink>
      <w:r w:rsidRPr="00155E77">
        <w:rPr>
          <w:rFonts w:cs="Arial"/>
        </w:rPr>
        <w:t>”</w:t>
      </w:r>
      <w:r>
        <w:rPr>
          <w:rFonts w:cs="Arial"/>
        </w:rPr>
        <w:t xml:space="preserve">.  </w:t>
      </w:r>
      <w:r w:rsidRPr="00A8536E">
        <w:rPr>
          <w:rFonts w:cs="Arial"/>
        </w:rPr>
        <w:t>It</w:t>
      </w:r>
      <w:r>
        <w:rPr>
          <w:rFonts w:cs="Arial"/>
        </w:rPr>
        <w:t xml:space="preserve"> is often</w:t>
      </w:r>
      <w:r w:rsidRPr="00A8536E">
        <w:rPr>
          <w:rFonts w:cs="Arial"/>
        </w:rPr>
        <w:t xml:space="preserve"> used to measure the cash earnings that can be used to pay interest and repay principal.</w:t>
      </w:r>
    </w:p>
    <w:p w:rsidR="00884A67" w:rsidRDefault="00884A67" w:rsidP="00884A67">
      <w:pPr>
        <w:rPr>
          <w:rFonts w:cs="Arial"/>
          <w:u w:val="single"/>
        </w:rPr>
      </w:pPr>
      <w:r>
        <w:rPr>
          <w:rFonts w:cs="Arial"/>
          <w:u w:val="single"/>
        </w:rPr>
        <w:t>Grants and Contributions for Capital Purposes</w:t>
      </w:r>
    </w:p>
    <w:p w:rsidR="00884A67" w:rsidRPr="00901CFF" w:rsidRDefault="00884A67" w:rsidP="00884A67">
      <w:pPr>
        <w:autoSpaceDE w:val="0"/>
        <w:autoSpaceDN w:val="0"/>
        <w:adjustRightInd w:val="0"/>
        <w:rPr>
          <w:rFonts w:cs="Arial"/>
        </w:rPr>
      </w:pPr>
      <w:r w:rsidRPr="00901CFF">
        <w:rPr>
          <w:rFonts w:cs="Arial"/>
        </w:rPr>
        <w:t>Councils receive various capital grants and contributions that are nearly always</w:t>
      </w:r>
      <w:r>
        <w:rPr>
          <w:rFonts w:cs="Arial"/>
        </w:rPr>
        <w:t xml:space="preserve"> 100%</w:t>
      </w:r>
      <w:r w:rsidRPr="00901CFF">
        <w:rPr>
          <w:rFonts w:cs="Arial"/>
        </w:rPr>
        <w:t xml:space="preserve"> specific in nature. Due to the fact that they are </w:t>
      </w:r>
      <w:r>
        <w:rPr>
          <w:rFonts w:cs="Arial"/>
        </w:rPr>
        <w:t xml:space="preserve">specifically </w:t>
      </w:r>
      <w:r w:rsidRPr="00901CFF">
        <w:rPr>
          <w:rFonts w:cs="Arial"/>
        </w:rPr>
        <w:t xml:space="preserve">allocated in respect of capital expenditure they are excluded from the operational result for </w:t>
      </w:r>
      <w:r>
        <w:rPr>
          <w:rFonts w:cs="Arial"/>
        </w:rPr>
        <w:t>a</w:t>
      </w:r>
      <w:r w:rsidRPr="00901CFF">
        <w:rPr>
          <w:rFonts w:cs="Arial"/>
        </w:rPr>
        <w:t xml:space="preserve"> </w:t>
      </w:r>
      <w:r>
        <w:rPr>
          <w:rFonts w:cs="Arial"/>
        </w:rPr>
        <w:t>c</w:t>
      </w:r>
      <w:r w:rsidRPr="00901CFF">
        <w:rPr>
          <w:rFonts w:cs="Arial"/>
        </w:rPr>
        <w:t>ouncil</w:t>
      </w:r>
      <w:r>
        <w:rPr>
          <w:rFonts w:cs="Arial"/>
        </w:rPr>
        <w:t xml:space="preserve"> in TCorp’s analysis of</w:t>
      </w:r>
      <w:r w:rsidRPr="00901CFF">
        <w:rPr>
          <w:rFonts w:cs="Arial"/>
        </w:rPr>
        <w:t xml:space="preserve"> a </w:t>
      </w:r>
      <w:r>
        <w:rPr>
          <w:rFonts w:cs="Arial"/>
        </w:rPr>
        <w:t>c</w:t>
      </w:r>
      <w:r w:rsidRPr="00901CFF">
        <w:rPr>
          <w:rFonts w:cs="Arial"/>
        </w:rPr>
        <w:t xml:space="preserve">ouncil’s financial position. </w:t>
      </w:r>
    </w:p>
    <w:p w:rsidR="00884A67" w:rsidRPr="00A8536E" w:rsidRDefault="00884A67" w:rsidP="00884A67">
      <w:pPr>
        <w:rPr>
          <w:rFonts w:cs="Arial"/>
          <w:u w:val="single"/>
        </w:rPr>
      </w:pPr>
      <w:r w:rsidRPr="00A8536E">
        <w:rPr>
          <w:rFonts w:cs="Arial"/>
          <w:u w:val="single"/>
        </w:rPr>
        <w:t xml:space="preserve">Grants </w:t>
      </w:r>
      <w:r>
        <w:rPr>
          <w:rFonts w:cs="Arial"/>
          <w:u w:val="single"/>
        </w:rPr>
        <w:t>and</w:t>
      </w:r>
      <w:r w:rsidRPr="00A8536E">
        <w:rPr>
          <w:rFonts w:cs="Arial"/>
          <w:u w:val="single"/>
        </w:rPr>
        <w:t xml:space="preserve"> Contributions for Operating Purposes</w:t>
      </w:r>
    </w:p>
    <w:p w:rsidR="00884A67" w:rsidRPr="00A8536E" w:rsidRDefault="00884A67" w:rsidP="00884A67">
      <w:pPr>
        <w:autoSpaceDE w:val="0"/>
        <w:autoSpaceDN w:val="0"/>
        <w:adjustRightInd w:val="0"/>
        <w:rPr>
          <w:rFonts w:cs="Arial"/>
        </w:rPr>
      </w:pPr>
      <w:r w:rsidRPr="00A8536E">
        <w:rPr>
          <w:rFonts w:cs="Arial"/>
        </w:rPr>
        <w:t>General purpose grants are distributed through the NSW Local Government Grants Commission</w:t>
      </w:r>
      <w:r>
        <w:rPr>
          <w:rFonts w:cs="Arial"/>
        </w:rPr>
        <w:t xml:space="preserve">.  </w:t>
      </w:r>
      <w:r w:rsidRPr="00A8536E">
        <w:rPr>
          <w:rFonts w:cs="Arial"/>
        </w:rPr>
        <w:t>When distributing the general component each council receives a minimum amount, which would be the amount if 30% of all funds were allocated on a per capita basis</w:t>
      </w:r>
      <w:r>
        <w:rPr>
          <w:rFonts w:cs="Arial"/>
        </w:rPr>
        <w:t xml:space="preserve">.  </w:t>
      </w:r>
      <w:r w:rsidRPr="00A8536E">
        <w:rPr>
          <w:rFonts w:cs="Arial"/>
        </w:rPr>
        <w:t>When distributing the other 70%, the Grants Commission attempts to assess the extent of relative disadvantage between councils</w:t>
      </w:r>
      <w:r>
        <w:rPr>
          <w:rFonts w:cs="Arial"/>
        </w:rPr>
        <w:t xml:space="preserve">.  </w:t>
      </w:r>
      <w:r w:rsidRPr="00A8536E">
        <w:rPr>
          <w:rFonts w:cs="Arial"/>
        </w:rPr>
        <w:t>The approach taken considers cost disadvantage in the provision of services on the one hand and an assessment of revenue raising capacity on the other.</w:t>
      </w:r>
    </w:p>
    <w:p w:rsidR="00884A67" w:rsidRDefault="00884A67" w:rsidP="00884A67">
      <w:pPr>
        <w:autoSpaceDE w:val="0"/>
        <w:autoSpaceDN w:val="0"/>
        <w:adjustRightInd w:val="0"/>
        <w:rPr>
          <w:rFonts w:cs="Arial"/>
        </w:rPr>
      </w:pPr>
      <w:r>
        <w:rPr>
          <w:rFonts w:cs="Arial"/>
        </w:rPr>
        <w:t>Councils also receive specific operating grants for one-off specific projects that are distributed to be spent directly on the project that the funding was allocated to.</w:t>
      </w:r>
    </w:p>
    <w:p w:rsidR="00884A67" w:rsidRDefault="00884A67" w:rsidP="00884A67">
      <w:pPr>
        <w:rPr>
          <w:rFonts w:cs="Arial"/>
          <w:u w:val="single"/>
        </w:rPr>
      </w:pPr>
      <w:r>
        <w:rPr>
          <w:rFonts w:cs="Arial"/>
          <w:u w:val="single"/>
        </w:rPr>
        <w:t>Independent Commission A</w:t>
      </w:r>
      <w:r w:rsidRPr="00AF6AF3">
        <w:rPr>
          <w:rFonts w:cs="Arial"/>
          <w:u w:val="single"/>
        </w:rPr>
        <w:t>gainst Corruption (ICAC)</w:t>
      </w:r>
    </w:p>
    <w:p w:rsidR="00884A67" w:rsidRPr="00AF6AF3" w:rsidRDefault="00884A67" w:rsidP="00884A67">
      <w:pPr>
        <w:autoSpaceDE w:val="0"/>
        <w:autoSpaceDN w:val="0"/>
        <w:adjustRightInd w:val="0"/>
        <w:rPr>
          <w:rFonts w:cs="Arial"/>
        </w:rPr>
      </w:pPr>
      <w:r w:rsidRPr="00AF6AF3">
        <w:rPr>
          <w:rFonts w:cs="Arial"/>
        </w:rPr>
        <w:t>ICAC was established by the NSW Government in 1989 in response to growing community concern about the integrity of public administration in NSW. </w:t>
      </w:r>
    </w:p>
    <w:p w:rsidR="00884A67" w:rsidRPr="00AF6AF3" w:rsidRDefault="00884A67" w:rsidP="00884A67">
      <w:pPr>
        <w:autoSpaceDE w:val="0"/>
        <w:autoSpaceDN w:val="0"/>
        <w:adjustRightInd w:val="0"/>
        <w:rPr>
          <w:rFonts w:cs="Arial"/>
        </w:rPr>
      </w:pPr>
      <w:r w:rsidRPr="00AF6AF3">
        <w:rPr>
          <w:rFonts w:cs="Arial"/>
        </w:rPr>
        <w:t>The jurisdiction of the ICAC extends to all NSW public sector agencies (except the NSW Police Force) and employees, including government departments, local councils, members of Parliament, ministers, the judiciary and the governor. The ICAC's jurisdiction also extends to those performing public official functions.</w:t>
      </w:r>
    </w:p>
    <w:p w:rsidR="00884A67" w:rsidRDefault="00884A67" w:rsidP="00884A67">
      <w:pPr>
        <w:rPr>
          <w:u w:val="single"/>
        </w:rPr>
      </w:pPr>
      <w:r>
        <w:rPr>
          <w:u w:val="single"/>
        </w:rPr>
        <w:t>Independent Pricing and Regulatory Tribunal (IPART)</w:t>
      </w:r>
    </w:p>
    <w:p w:rsidR="00884A67" w:rsidRDefault="00884A67" w:rsidP="00884A67">
      <w:pPr>
        <w:autoSpaceDE w:val="0"/>
        <w:autoSpaceDN w:val="0"/>
        <w:adjustRightInd w:val="0"/>
        <w:rPr>
          <w:rFonts w:cs="Arial"/>
        </w:rPr>
      </w:pPr>
      <w:r w:rsidRPr="00DD09B6">
        <w:rPr>
          <w:rFonts w:cs="Arial"/>
        </w:rPr>
        <w:t xml:space="preserve">IPART has </w:t>
      </w:r>
      <w:r>
        <w:rPr>
          <w:rFonts w:cs="Arial"/>
        </w:rPr>
        <w:t>four</w:t>
      </w:r>
      <w:r w:rsidRPr="00DD09B6">
        <w:rPr>
          <w:rFonts w:cs="Arial"/>
        </w:rPr>
        <w:t xml:space="preserve"> main functions relating to the 152 local councils in NSW</w:t>
      </w:r>
      <w:r>
        <w:rPr>
          <w:rFonts w:cs="Arial"/>
        </w:rPr>
        <w:t xml:space="preserve">.  </w:t>
      </w:r>
      <w:r w:rsidRPr="00DD09B6">
        <w:rPr>
          <w:rFonts w:cs="Arial"/>
        </w:rPr>
        <w:t>Each year, IPART determines the rate peg, or the allowable annual increase in</w:t>
      </w:r>
      <w:r>
        <w:rPr>
          <w:rFonts w:cs="Arial"/>
        </w:rPr>
        <w:t xml:space="preserve"> general income for councils.  They</w:t>
      </w:r>
      <w:r w:rsidRPr="00DD09B6">
        <w:rPr>
          <w:rFonts w:cs="Arial"/>
        </w:rPr>
        <w:t> also review and determine council applications for increases in general income above the rate peg, k</w:t>
      </w:r>
      <w:r>
        <w:rPr>
          <w:rFonts w:cs="Arial"/>
        </w:rPr>
        <w:t>nown as “Special Rate Variations”.  They</w:t>
      </w:r>
      <w:r w:rsidRPr="00DD09B6">
        <w:rPr>
          <w:rFonts w:cs="Arial"/>
        </w:rPr>
        <w:t xml:space="preserve"> approve increa</w:t>
      </w:r>
      <w:r>
        <w:rPr>
          <w:rFonts w:cs="Arial"/>
        </w:rPr>
        <w:t>ses in council minimum rates.  They</w:t>
      </w:r>
      <w:r w:rsidRPr="00DD09B6">
        <w:rPr>
          <w:rFonts w:cs="Arial"/>
        </w:rPr>
        <w:t xml:space="preserve"> also review council development contributions plans that propose contribution levels that exceed caps set by the Government.</w:t>
      </w:r>
    </w:p>
    <w:p w:rsidR="00884A67" w:rsidRPr="00413515" w:rsidRDefault="00884A67" w:rsidP="00884A67">
      <w:pPr>
        <w:pStyle w:val="NormalWeb"/>
        <w:spacing w:before="220" w:beforeAutospacing="0" w:after="220" w:afterAutospacing="0" w:line="276" w:lineRule="auto"/>
        <w:jc w:val="both"/>
        <w:rPr>
          <w:rFonts w:ascii="Arial Narrow" w:hAnsi="Arial Narrow"/>
          <w:sz w:val="22"/>
          <w:szCs w:val="22"/>
          <w:u w:val="single"/>
        </w:rPr>
      </w:pPr>
      <w:r>
        <w:rPr>
          <w:rFonts w:ascii="Arial Narrow" w:hAnsi="Arial Narrow" w:cs="Arial"/>
          <w:sz w:val="22"/>
          <w:szCs w:val="22"/>
          <w:u w:val="single"/>
        </w:rPr>
        <w:t>Infrastructure B</w:t>
      </w:r>
      <w:r w:rsidRPr="00413515">
        <w:rPr>
          <w:rFonts w:ascii="Arial Narrow" w:hAnsi="Arial Narrow" w:cs="Arial"/>
          <w:sz w:val="22"/>
          <w:szCs w:val="22"/>
          <w:u w:val="single"/>
        </w:rPr>
        <w:t>acklog</w:t>
      </w:r>
    </w:p>
    <w:p w:rsidR="00AD54A7" w:rsidRPr="00213508" w:rsidRDefault="00AD54A7" w:rsidP="00AD54A7">
      <w:pPr>
        <w:autoSpaceDE w:val="0"/>
        <w:autoSpaceDN w:val="0"/>
        <w:adjustRightInd w:val="0"/>
        <w:rPr>
          <w:rFonts w:cs="Arial"/>
        </w:rPr>
      </w:pPr>
      <w:r w:rsidRPr="00A8536E">
        <w:rPr>
          <w:rFonts w:cs="Arial"/>
        </w:rPr>
        <w:t xml:space="preserve">Infrastructure backlog is defined as the </w:t>
      </w:r>
      <w:r>
        <w:rPr>
          <w:rFonts w:cs="Arial"/>
        </w:rPr>
        <w:t>estimated cost to bring infrastructure, building, other structures and depreciable land improvements to a satisfactory standard</w:t>
      </w:r>
      <w:r w:rsidRPr="00A8536E">
        <w:rPr>
          <w:rFonts w:cs="Arial"/>
        </w:rPr>
        <w:t>, measured at a particular point in time.</w:t>
      </w:r>
      <w:r>
        <w:rPr>
          <w:rFonts w:cs="Arial"/>
        </w:rPr>
        <w:t xml:space="preserve"> It is unaudited and stated within Special Schedule 7 that accompanies the council’s audited annual financial statements.</w:t>
      </w:r>
    </w:p>
    <w:p w:rsidR="00884A67" w:rsidRDefault="00884A67">
      <w:pPr>
        <w:spacing w:before="0" w:after="0" w:line="240" w:lineRule="auto"/>
        <w:jc w:val="left"/>
        <w:rPr>
          <w:rFonts w:cs="Arial"/>
          <w:u w:val="single"/>
        </w:rPr>
      </w:pPr>
      <w:r>
        <w:rPr>
          <w:rFonts w:cs="Arial"/>
          <w:u w:val="single"/>
        </w:rPr>
        <w:br w:type="page"/>
      </w:r>
    </w:p>
    <w:p w:rsidR="00884A67" w:rsidRPr="00E82BB4" w:rsidRDefault="00884A67" w:rsidP="00884A67">
      <w:pPr>
        <w:rPr>
          <w:rFonts w:cs="Arial"/>
          <w:u w:val="single"/>
        </w:rPr>
      </w:pPr>
      <w:r w:rsidRPr="00E82BB4">
        <w:rPr>
          <w:rFonts w:cs="Arial"/>
          <w:u w:val="single"/>
        </w:rPr>
        <w:lastRenderedPageBreak/>
        <w:t xml:space="preserve">Integrated Planning </w:t>
      </w:r>
      <w:r>
        <w:rPr>
          <w:rFonts w:cs="Arial"/>
          <w:u w:val="single"/>
        </w:rPr>
        <w:t>and</w:t>
      </w:r>
      <w:r w:rsidRPr="00E82BB4">
        <w:rPr>
          <w:rFonts w:cs="Arial"/>
          <w:u w:val="single"/>
        </w:rPr>
        <w:t xml:space="preserve"> Reporting</w:t>
      </w:r>
      <w:r>
        <w:rPr>
          <w:rFonts w:cs="Arial"/>
          <w:u w:val="single"/>
        </w:rPr>
        <w:t xml:space="preserve"> (IP&amp;R) Framework</w:t>
      </w:r>
    </w:p>
    <w:p w:rsidR="00884A67" w:rsidRDefault="00884A67" w:rsidP="00884A67">
      <w:r>
        <w:rPr>
          <w:rFonts w:cs="Arial"/>
        </w:rPr>
        <w:t xml:space="preserve">As part of the NSW </w:t>
      </w:r>
      <w:r w:rsidRPr="00E82BB4">
        <w:rPr>
          <w:rFonts w:cs="Arial"/>
        </w:rPr>
        <w:t xml:space="preserve">Government’s </w:t>
      </w:r>
      <w:r w:rsidRPr="00E82BB4">
        <w:t xml:space="preserve">commitment to a strong and sustainable local government system, the </w:t>
      </w:r>
      <w:r w:rsidRPr="00E82BB4">
        <w:rPr>
          <w:i/>
          <w:iCs/>
        </w:rPr>
        <w:t>Local Government Amendment (Planning and Reporting) Act 2009</w:t>
      </w:r>
      <w:r w:rsidRPr="00E82BB4">
        <w:t xml:space="preserve"> was assented on 1 October 2009</w:t>
      </w:r>
      <w:r>
        <w:t xml:space="preserve">.  From this legislative reform the IP&amp;R framework was </w:t>
      </w:r>
      <w:r w:rsidRPr="00E82BB4">
        <w:t>devised to replace the former Management Plan and Social Plan with an integrated framework</w:t>
      </w:r>
      <w:r>
        <w:t xml:space="preserve">.  </w:t>
      </w:r>
      <w:r w:rsidRPr="00E82BB4">
        <w:t>It also includes a new requirement to prepare a long-term Community Strategic Plan and Resourcing Strategy</w:t>
      </w:r>
      <w:r>
        <w:t xml:space="preserve">.  </w:t>
      </w:r>
      <w:r w:rsidRPr="00E82BB4">
        <w:t xml:space="preserve">The </w:t>
      </w:r>
      <w:r>
        <w:t xml:space="preserve">other </w:t>
      </w:r>
      <w:r w:rsidRPr="00E82BB4">
        <w:t xml:space="preserve">essential elements of the new framework are </w:t>
      </w:r>
      <w:r>
        <w:t>a Long-Term Financial Plan (LTFP), Operational Plan and Delivery Program and an Asset Management Plan</w:t>
      </w:r>
      <w:r w:rsidRPr="00E82BB4">
        <w:t>.</w:t>
      </w:r>
    </w:p>
    <w:p w:rsidR="00884A67" w:rsidRDefault="00884A67" w:rsidP="00884A67">
      <w:pPr>
        <w:rPr>
          <w:u w:val="single"/>
        </w:rPr>
      </w:pPr>
      <w:r>
        <w:rPr>
          <w:u w:val="single"/>
        </w:rPr>
        <w:t>Local Government Cost Index (LGCI)</w:t>
      </w:r>
    </w:p>
    <w:p w:rsidR="00884A67" w:rsidRPr="00155E77" w:rsidRDefault="00884A67" w:rsidP="00884A67">
      <w:pPr>
        <w:autoSpaceDE w:val="0"/>
        <w:autoSpaceDN w:val="0"/>
        <w:adjustRightInd w:val="0"/>
        <w:rPr>
          <w:rFonts w:cs="Arial"/>
        </w:rPr>
      </w:pPr>
      <w:r w:rsidRPr="00155E77">
        <w:rPr>
          <w:rFonts w:cs="Arial"/>
        </w:rPr>
        <w:t>The LGCI is a measure of movements in the unit costs incurred by NSW councils for ordinary council activities funded from general rate revenue. The LGCI is designed to measure how much the price of a fixed “basket” of inputs acquired by councils in a given period compares with the price of the same set of inputs in the base period.  The LGCI is measured by IPART.</w:t>
      </w:r>
    </w:p>
    <w:p w:rsidR="00884A67" w:rsidRPr="00B64CA1" w:rsidRDefault="00884A67" w:rsidP="00884A67">
      <w:pPr>
        <w:autoSpaceDE w:val="0"/>
        <w:autoSpaceDN w:val="0"/>
        <w:adjustRightInd w:val="0"/>
        <w:rPr>
          <w:rFonts w:cs="BookAntiqua"/>
          <w:color w:val="000000"/>
          <w:u w:val="single"/>
        </w:rPr>
      </w:pPr>
      <w:r w:rsidRPr="00B64CA1">
        <w:rPr>
          <w:rFonts w:cs="BookAntiqua"/>
          <w:color w:val="000000"/>
          <w:u w:val="single"/>
        </w:rPr>
        <w:t>Net Assets</w:t>
      </w:r>
    </w:p>
    <w:p w:rsidR="00884A67" w:rsidRPr="00155E77" w:rsidRDefault="00884A67" w:rsidP="00884A67">
      <w:pPr>
        <w:autoSpaceDE w:val="0"/>
        <w:autoSpaceDN w:val="0"/>
        <w:adjustRightInd w:val="0"/>
        <w:rPr>
          <w:rFonts w:cs="Arial"/>
        </w:rPr>
      </w:pPr>
      <w:r>
        <w:rPr>
          <w:rFonts w:cs="Arial"/>
        </w:rPr>
        <w:t xml:space="preserve">Net Assets is measured as total assets less total liabilities.  </w:t>
      </w:r>
      <w:r w:rsidRPr="00B64CA1">
        <w:rPr>
          <w:rFonts w:cs="Arial"/>
        </w:rPr>
        <w:t xml:space="preserve">The Asset Revaluations over the </w:t>
      </w:r>
      <w:r>
        <w:rPr>
          <w:rFonts w:cs="Arial"/>
        </w:rPr>
        <w:t xml:space="preserve">past </w:t>
      </w:r>
      <w:r w:rsidRPr="00B64CA1">
        <w:rPr>
          <w:rFonts w:cs="Arial"/>
        </w:rPr>
        <w:t xml:space="preserve">years have resulted in a high level of volatility in </w:t>
      </w:r>
      <w:r>
        <w:rPr>
          <w:rFonts w:cs="Arial"/>
        </w:rPr>
        <w:t xml:space="preserve">many councils’ </w:t>
      </w:r>
      <w:r w:rsidRPr="00B64CA1">
        <w:rPr>
          <w:rFonts w:cs="Arial"/>
        </w:rPr>
        <w:t>Net Assets</w:t>
      </w:r>
      <w:r>
        <w:rPr>
          <w:rFonts w:cs="Arial"/>
        </w:rPr>
        <w:t xml:space="preserve"> figure</w:t>
      </w:r>
      <w:r w:rsidRPr="00B64CA1">
        <w:rPr>
          <w:rFonts w:cs="Arial"/>
        </w:rPr>
        <w:t xml:space="preserve">.  Consequently, in the short term the value of Net Assets is not necessarily an informative indicator of performance.  In the medium to long term however, this is a key indicator of a </w:t>
      </w:r>
      <w:r>
        <w:rPr>
          <w:rFonts w:cs="Arial"/>
        </w:rPr>
        <w:t>c</w:t>
      </w:r>
      <w:r w:rsidRPr="00B64CA1">
        <w:rPr>
          <w:rFonts w:cs="Arial"/>
        </w:rPr>
        <w:t xml:space="preserve">ouncil’s capacity to add value to its operations.  Over time, Net Assets should increase at least in line with inflation plus an allowance for increased population and/or improved or increased services.  Declining Net Assets is a key indicator of the </w:t>
      </w:r>
      <w:r>
        <w:rPr>
          <w:rFonts w:cs="Arial"/>
        </w:rPr>
        <w:t>c</w:t>
      </w:r>
      <w:r w:rsidRPr="00B64CA1">
        <w:rPr>
          <w:rFonts w:cs="Arial"/>
        </w:rPr>
        <w:t>ouncil’s assets not being able to susta</w:t>
      </w:r>
      <w:r>
        <w:rPr>
          <w:rFonts w:cs="Arial"/>
        </w:rPr>
        <w:t>in ongoing operations</w:t>
      </w:r>
      <w:r w:rsidRPr="00B64CA1">
        <w:rPr>
          <w:rFonts w:cs="Arial"/>
        </w:rPr>
        <w:t>.</w:t>
      </w:r>
    </w:p>
    <w:p w:rsidR="00884A67" w:rsidRPr="009359A1" w:rsidRDefault="00884A67" w:rsidP="00884A67">
      <w:pPr>
        <w:rPr>
          <w:rFonts w:cs="Arial"/>
          <w:u w:val="single"/>
        </w:rPr>
      </w:pPr>
      <w:r w:rsidRPr="009359A1">
        <w:rPr>
          <w:rFonts w:cs="Arial"/>
          <w:u w:val="single"/>
        </w:rPr>
        <w:t>R</w:t>
      </w:r>
      <w:r>
        <w:rPr>
          <w:rFonts w:cs="Arial"/>
          <w:u w:val="single"/>
        </w:rPr>
        <w:t>oads and Maritime Services (R</w:t>
      </w:r>
      <w:r w:rsidRPr="009359A1">
        <w:rPr>
          <w:rFonts w:cs="Arial"/>
          <w:u w:val="single"/>
        </w:rPr>
        <w:t>MS</w:t>
      </w:r>
      <w:r>
        <w:rPr>
          <w:rFonts w:cs="Arial"/>
          <w:u w:val="single"/>
        </w:rPr>
        <w:t>)</w:t>
      </w:r>
    </w:p>
    <w:p w:rsidR="00884A67" w:rsidRPr="00155E77" w:rsidRDefault="00884A67" w:rsidP="00884A67">
      <w:pPr>
        <w:autoSpaceDE w:val="0"/>
        <w:autoSpaceDN w:val="0"/>
        <w:adjustRightInd w:val="0"/>
        <w:rPr>
          <w:rFonts w:cs="Arial"/>
        </w:rPr>
      </w:pPr>
      <w:r w:rsidRPr="00155E77">
        <w:rPr>
          <w:rFonts w:cs="Arial"/>
        </w:rPr>
        <w:t>The NSW State Government agency with responsibility for roads and maritime services, formerly the Roads and Traffic Authority (RTA).</w:t>
      </w:r>
    </w:p>
    <w:p w:rsidR="00884A67" w:rsidRPr="00EF1DB2" w:rsidRDefault="00884A67" w:rsidP="00884A67">
      <w:pPr>
        <w:rPr>
          <w:rFonts w:cs="Arial"/>
          <w:u w:val="single"/>
        </w:rPr>
      </w:pPr>
      <w:r w:rsidRPr="00EF1DB2">
        <w:rPr>
          <w:rFonts w:cs="Arial"/>
          <w:u w:val="single"/>
        </w:rPr>
        <w:t>S</w:t>
      </w:r>
      <w:r>
        <w:rPr>
          <w:rFonts w:cs="Arial"/>
          <w:u w:val="single"/>
        </w:rPr>
        <w:t xml:space="preserve">ection </w:t>
      </w:r>
      <w:r w:rsidRPr="00EF1DB2">
        <w:rPr>
          <w:rFonts w:cs="Arial"/>
          <w:u w:val="single"/>
        </w:rPr>
        <w:t>64 Contribution</w:t>
      </w:r>
    </w:p>
    <w:p w:rsidR="00884A67" w:rsidRPr="00155E77" w:rsidRDefault="00884A67" w:rsidP="00884A67">
      <w:pPr>
        <w:autoSpaceDE w:val="0"/>
        <w:autoSpaceDN w:val="0"/>
        <w:adjustRightInd w:val="0"/>
        <w:rPr>
          <w:rFonts w:cs="Arial"/>
        </w:rPr>
      </w:pPr>
      <w:r w:rsidRPr="00155E77">
        <w:rPr>
          <w:rFonts w:cs="Arial"/>
        </w:rPr>
        <w:t>Development Servicing Plans (DSPs) are made under the provisions of Section 64 of the Local Government Act 1993 and Sections 305 to 307 of the Water Management Act 2000.</w:t>
      </w:r>
    </w:p>
    <w:p w:rsidR="00884A67" w:rsidRPr="00155E77" w:rsidRDefault="00884A67" w:rsidP="00884A67">
      <w:pPr>
        <w:autoSpaceDE w:val="0"/>
        <w:autoSpaceDN w:val="0"/>
        <w:adjustRightInd w:val="0"/>
        <w:rPr>
          <w:rFonts w:cs="Arial"/>
        </w:rPr>
      </w:pPr>
      <w:r w:rsidRPr="00155E77">
        <w:rPr>
          <w:rFonts w:cs="Arial"/>
        </w:rPr>
        <w:t>DSPs outline the developer charges applicable to developments for Water, Sewer and Stormwater within each Local Government Area.</w:t>
      </w:r>
    </w:p>
    <w:p w:rsidR="00884A67" w:rsidRDefault="00884A67" w:rsidP="00884A67">
      <w:pPr>
        <w:rPr>
          <w:rFonts w:cs="Arial"/>
          <w:u w:val="single"/>
        </w:rPr>
      </w:pPr>
      <w:r w:rsidRPr="00EF1DB2">
        <w:rPr>
          <w:rFonts w:cs="Arial"/>
          <w:u w:val="single"/>
        </w:rPr>
        <w:t>S</w:t>
      </w:r>
      <w:r>
        <w:rPr>
          <w:rFonts w:cs="Arial"/>
          <w:u w:val="single"/>
        </w:rPr>
        <w:t xml:space="preserve">ection </w:t>
      </w:r>
      <w:r w:rsidRPr="00EF1DB2">
        <w:rPr>
          <w:rFonts w:cs="Arial"/>
          <w:u w:val="single"/>
        </w:rPr>
        <w:t>94 Contribution</w:t>
      </w:r>
    </w:p>
    <w:p w:rsidR="00884A67" w:rsidRPr="00155E77" w:rsidRDefault="00884A67" w:rsidP="00884A67">
      <w:pPr>
        <w:autoSpaceDE w:val="0"/>
        <w:autoSpaceDN w:val="0"/>
        <w:adjustRightInd w:val="0"/>
        <w:rPr>
          <w:rFonts w:cs="Arial"/>
        </w:rPr>
      </w:pPr>
      <w:r w:rsidRPr="00155E77">
        <w:rPr>
          <w:rFonts w:cs="Arial"/>
        </w:rPr>
        <w:t>Section 94 of the Environmental Planning and Assessment Act 1979 allows councils to collect contributions from the development of land in order to help meet the additional demand for community and open space facilities generated by that development.</w:t>
      </w:r>
    </w:p>
    <w:p w:rsidR="00884A67" w:rsidRPr="00155E77" w:rsidRDefault="00884A67" w:rsidP="00884A67">
      <w:pPr>
        <w:autoSpaceDE w:val="0"/>
        <w:autoSpaceDN w:val="0"/>
        <w:adjustRightInd w:val="0"/>
        <w:rPr>
          <w:rFonts w:cs="Arial"/>
        </w:rPr>
      </w:pPr>
      <w:r>
        <w:rPr>
          <w:rFonts w:cs="Arial"/>
        </w:rPr>
        <w:t>It</w:t>
      </w:r>
      <w:r w:rsidRPr="00EF1DB2">
        <w:rPr>
          <w:rFonts w:cs="Arial"/>
        </w:rPr>
        <w:t xml:space="preserve"> is a monetary contribution levied on developers at the development application stage to help pay for additional community facilities and/or infrastructure such as provision of libraries; community facilities; open space; roads; drainage</w:t>
      </w:r>
      <w:r>
        <w:rPr>
          <w:rFonts w:cs="Arial"/>
        </w:rPr>
        <w:t>;</w:t>
      </w:r>
      <w:r w:rsidRPr="00EF1DB2">
        <w:rPr>
          <w:rFonts w:cs="Arial"/>
        </w:rPr>
        <w:t xml:space="preserve"> and the provision of car parking in commercial areas.</w:t>
      </w:r>
    </w:p>
    <w:p w:rsidR="00884A67" w:rsidRDefault="00884A67" w:rsidP="00884A67">
      <w:pPr>
        <w:autoSpaceDE w:val="0"/>
        <w:autoSpaceDN w:val="0"/>
        <w:adjustRightInd w:val="0"/>
        <w:rPr>
          <w:rFonts w:cs="Arial"/>
        </w:rPr>
      </w:pPr>
      <w:r w:rsidRPr="00EF1DB2">
        <w:rPr>
          <w:rFonts w:cs="Arial"/>
        </w:rPr>
        <w:lastRenderedPageBreak/>
        <w:t>The contribution is determ</w:t>
      </w:r>
      <w:r>
        <w:rPr>
          <w:rFonts w:cs="Arial"/>
        </w:rPr>
        <w:t>ined based on a formula which should be</w:t>
      </w:r>
      <w:r w:rsidRPr="00EF1DB2">
        <w:rPr>
          <w:rFonts w:cs="Arial"/>
        </w:rPr>
        <w:t xml:space="preserve"> contained in </w:t>
      </w:r>
      <w:r>
        <w:rPr>
          <w:rFonts w:cs="Arial"/>
        </w:rPr>
        <w:t>each c</w:t>
      </w:r>
      <w:r w:rsidRPr="00EF1DB2">
        <w:rPr>
          <w:rFonts w:cs="Arial"/>
        </w:rPr>
        <w:t xml:space="preserve">ouncil's </w:t>
      </w:r>
      <w:hyperlink r:id="rId43" w:tgtFrame="_blank" w:history="1">
        <w:r w:rsidRPr="00155E77">
          <w:t>Section 94 Contribution Plan</w:t>
        </w:r>
      </w:hyperlink>
      <w:r w:rsidRPr="00EF1DB2">
        <w:rPr>
          <w:rFonts w:cs="Arial"/>
        </w:rPr>
        <w:t>, which also identifies the basis for levying the contributions and the works to be undertaken with the funds raised</w:t>
      </w:r>
      <w:r>
        <w:rPr>
          <w:rFonts w:cs="Arial"/>
        </w:rPr>
        <w:t xml:space="preserve">.  </w:t>
      </w:r>
    </w:p>
    <w:p w:rsidR="00884A67" w:rsidRPr="00A807EC" w:rsidRDefault="00884A67" w:rsidP="00884A67">
      <w:pPr>
        <w:rPr>
          <w:u w:val="single"/>
        </w:rPr>
      </w:pPr>
      <w:r w:rsidRPr="00A807EC">
        <w:rPr>
          <w:u w:val="single"/>
        </w:rPr>
        <w:t>Special Rate Variation</w:t>
      </w:r>
      <w:r>
        <w:rPr>
          <w:u w:val="single"/>
        </w:rPr>
        <w:t xml:space="preserve"> (SRV)</w:t>
      </w:r>
    </w:p>
    <w:p w:rsidR="00884A67" w:rsidRPr="00155E77" w:rsidRDefault="00884A67" w:rsidP="00884A67">
      <w:pPr>
        <w:autoSpaceDE w:val="0"/>
        <w:autoSpaceDN w:val="0"/>
        <w:adjustRightInd w:val="0"/>
        <w:rPr>
          <w:rFonts w:cs="Arial"/>
        </w:rPr>
      </w:pPr>
      <w:r w:rsidRPr="00155E77">
        <w:rPr>
          <w:rFonts w:cs="Arial"/>
        </w:rPr>
        <w:t>A SRV allows councils to increase general income above the rate peg, under the provisions of the Local Government Act 1993.  There are two types of special rate variations that a council may apply for: </w:t>
      </w:r>
    </w:p>
    <w:p w:rsidR="00884A67" w:rsidRDefault="00884A67" w:rsidP="00884A67">
      <w:pPr>
        <w:pStyle w:val="ListParagraph"/>
        <w:numPr>
          <w:ilvl w:val="0"/>
          <w:numId w:val="2"/>
        </w:numPr>
        <w:spacing w:line="276" w:lineRule="auto"/>
        <w:rPr>
          <w:rFonts w:cs="Arial"/>
        </w:rPr>
      </w:pPr>
      <w:r w:rsidRPr="00A807EC">
        <w:rPr>
          <w:rFonts w:cs="Arial"/>
        </w:rPr>
        <w:t>a single year variation (section 508(2)) or</w:t>
      </w:r>
    </w:p>
    <w:p w:rsidR="00884A67" w:rsidRPr="009A1015" w:rsidRDefault="00884A67" w:rsidP="00884A67">
      <w:pPr>
        <w:pStyle w:val="ListParagraph"/>
        <w:numPr>
          <w:ilvl w:val="0"/>
          <w:numId w:val="2"/>
        </w:numPr>
        <w:spacing w:line="276" w:lineRule="auto"/>
        <w:rPr>
          <w:rFonts w:cs="Arial"/>
        </w:rPr>
      </w:pPr>
      <w:r w:rsidRPr="00A807EC">
        <w:rPr>
          <w:rFonts w:cs="Arial"/>
        </w:rPr>
        <w:t>a multi-year variation for between two to seven years (section 508A</w:t>
      </w:r>
      <w:r w:rsidRPr="00A807EC">
        <w:rPr>
          <w:rFonts w:cs="Arial"/>
          <w:color w:val="333333"/>
        </w:rPr>
        <w:t>).</w:t>
      </w:r>
    </w:p>
    <w:p w:rsidR="00884A67" w:rsidRDefault="00884A67" w:rsidP="00884A67">
      <w:pPr>
        <w:autoSpaceDE w:val="0"/>
        <w:autoSpaceDN w:val="0"/>
        <w:adjustRightInd w:val="0"/>
        <w:rPr>
          <w:rFonts w:cs="Arial"/>
        </w:rPr>
      </w:pPr>
      <w:r w:rsidRPr="00155E77">
        <w:rPr>
          <w:rFonts w:cs="Arial"/>
        </w:rPr>
        <w:t>The applications are reviewed and approved by IPART.</w:t>
      </w:r>
    </w:p>
    <w:p w:rsidR="00DE153F" w:rsidRPr="00A807EC" w:rsidRDefault="00DE153F" w:rsidP="00DE153F">
      <w:pPr>
        <w:rPr>
          <w:u w:val="single"/>
        </w:rPr>
      </w:pPr>
      <w:r>
        <w:rPr>
          <w:u w:val="single"/>
        </w:rPr>
        <w:t>Sustainability</w:t>
      </w:r>
    </w:p>
    <w:p w:rsidR="00DE153F" w:rsidRDefault="00DE153F" w:rsidP="00884A67">
      <w:pPr>
        <w:autoSpaceDE w:val="0"/>
        <w:autoSpaceDN w:val="0"/>
        <w:adjustRightInd w:val="0"/>
        <w:rPr>
          <w:rFonts w:cs="Arial"/>
        </w:rPr>
      </w:pPr>
      <w:r w:rsidRPr="00DE153F">
        <w:rPr>
          <w:rFonts w:cs="Arial"/>
        </w:rPr>
        <w:t>A local government will be financially sustainable over the long term when it is able to generate sufficient funds to provide the levels of service and infrastructure agreed with its community</w:t>
      </w:r>
    </w:p>
    <w:p w:rsidR="00884A67" w:rsidRDefault="00884A67" w:rsidP="00884A67">
      <w:pPr>
        <w:jc w:val="center"/>
        <w:rPr>
          <w:rFonts w:cs="Arial"/>
          <w:u w:val="single"/>
        </w:rPr>
      </w:pPr>
    </w:p>
    <w:p w:rsidR="00884A67" w:rsidRPr="00FD7D9A" w:rsidRDefault="00884A67" w:rsidP="00884A67">
      <w:pPr>
        <w:spacing w:line="180" w:lineRule="atLeast"/>
        <w:rPr>
          <w:rFonts w:cs="Arial"/>
          <w:b/>
        </w:rPr>
      </w:pPr>
      <w:r w:rsidRPr="00FD7D9A">
        <w:rPr>
          <w:rFonts w:cs="Arial"/>
          <w:b/>
        </w:rPr>
        <w:t>Ratio Explanations</w:t>
      </w:r>
    </w:p>
    <w:p w:rsidR="00884A67" w:rsidRPr="00FD7D9A" w:rsidRDefault="00884A67" w:rsidP="00884A67">
      <w:pPr>
        <w:rPr>
          <w:rFonts w:cs="Arial"/>
          <w:u w:val="single"/>
        </w:rPr>
      </w:pPr>
      <w:r w:rsidRPr="00FD7D9A">
        <w:rPr>
          <w:rFonts w:cs="Arial"/>
          <w:u w:val="single"/>
        </w:rPr>
        <w:t>Asset Maintenance Ratio</w:t>
      </w:r>
    </w:p>
    <w:p w:rsidR="00884A67" w:rsidRDefault="00884A67" w:rsidP="00884A67">
      <w:pPr>
        <w:autoSpaceDE w:val="0"/>
        <w:autoSpaceDN w:val="0"/>
        <w:adjustRightInd w:val="0"/>
        <w:rPr>
          <w:rFonts w:cs="Arial"/>
        </w:rPr>
      </w:pPr>
      <w:r>
        <w:rPr>
          <w:rFonts w:cs="Arial"/>
        </w:rPr>
        <w:t>Benchmark = Greater than 1.0x</w:t>
      </w:r>
    </w:p>
    <w:p w:rsidR="00884A67" w:rsidRPr="00FD7D9A" w:rsidRDefault="00884A67" w:rsidP="00884A67">
      <w:pPr>
        <w:autoSpaceDE w:val="0"/>
        <w:autoSpaceDN w:val="0"/>
        <w:adjustRightInd w:val="0"/>
        <w:rPr>
          <w:rFonts w:cs="Arial"/>
        </w:rPr>
      </w:pPr>
      <w:r w:rsidRPr="00FD7D9A">
        <w:rPr>
          <w:rFonts w:cs="Arial"/>
        </w:rPr>
        <w:t xml:space="preserve">Ratio = </w:t>
      </w:r>
      <w:r>
        <w:rPr>
          <w:rFonts w:cs="Arial"/>
        </w:rPr>
        <w:t>a</w:t>
      </w:r>
      <w:r w:rsidRPr="00FD7D9A">
        <w:rPr>
          <w:rFonts w:cs="Arial"/>
        </w:rPr>
        <w:t xml:space="preserve">ctual </w:t>
      </w:r>
      <w:r>
        <w:rPr>
          <w:rFonts w:cs="Arial"/>
        </w:rPr>
        <w:t>a</w:t>
      </w:r>
      <w:r w:rsidRPr="00FD7D9A">
        <w:rPr>
          <w:rFonts w:cs="Arial"/>
        </w:rPr>
        <w:t xml:space="preserve">sset </w:t>
      </w:r>
      <w:r>
        <w:rPr>
          <w:rFonts w:cs="Arial"/>
        </w:rPr>
        <w:t>m</w:t>
      </w:r>
      <w:r w:rsidRPr="00FD7D9A">
        <w:rPr>
          <w:rFonts w:cs="Arial"/>
        </w:rPr>
        <w:t xml:space="preserve">aintenance / </w:t>
      </w:r>
      <w:r>
        <w:rPr>
          <w:rFonts w:cs="Arial"/>
        </w:rPr>
        <w:t>r</w:t>
      </w:r>
      <w:r w:rsidRPr="00FD7D9A">
        <w:rPr>
          <w:rFonts w:cs="Arial"/>
        </w:rPr>
        <w:t xml:space="preserve">equired </w:t>
      </w:r>
      <w:r>
        <w:rPr>
          <w:rFonts w:cs="Arial"/>
        </w:rPr>
        <w:t>a</w:t>
      </w:r>
      <w:r w:rsidRPr="00FD7D9A">
        <w:rPr>
          <w:rFonts w:cs="Arial"/>
        </w:rPr>
        <w:t xml:space="preserve">sset </w:t>
      </w:r>
      <w:r>
        <w:rPr>
          <w:rFonts w:cs="Arial"/>
        </w:rPr>
        <w:t>m</w:t>
      </w:r>
      <w:r w:rsidRPr="00FD7D9A">
        <w:rPr>
          <w:rFonts w:cs="Arial"/>
        </w:rPr>
        <w:t>aintenance</w:t>
      </w:r>
    </w:p>
    <w:p w:rsidR="00884A67" w:rsidRPr="00FD7D9A" w:rsidRDefault="00884A67" w:rsidP="00884A67">
      <w:pPr>
        <w:autoSpaceDE w:val="0"/>
        <w:autoSpaceDN w:val="0"/>
        <w:adjustRightInd w:val="0"/>
        <w:rPr>
          <w:rFonts w:cs="Arial"/>
        </w:rPr>
      </w:pPr>
      <w:r w:rsidRPr="00FD7D9A">
        <w:rPr>
          <w:rFonts w:cs="Arial"/>
        </w:rPr>
        <w:t xml:space="preserve">This ratio compares actual versus required annual asset maintenance, as detailed in Special Schedule 7.  A ratio of above 1.0x indicates that </w:t>
      </w:r>
      <w:r>
        <w:rPr>
          <w:rFonts w:cs="Arial"/>
        </w:rPr>
        <w:t>the c</w:t>
      </w:r>
      <w:r w:rsidRPr="00FD7D9A">
        <w:rPr>
          <w:rFonts w:cs="Arial"/>
        </w:rPr>
        <w:t>ouncil is investing enough funds within the year to stop the infrastructure backlog from growing.</w:t>
      </w:r>
    </w:p>
    <w:p w:rsidR="00884A67" w:rsidRDefault="00884A67" w:rsidP="00884A67">
      <w:pPr>
        <w:rPr>
          <w:rFonts w:cs="Arial"/>
          <w:u w:val="single"/>
        </w:rPr>
      </w:pPr>
      <w:r>
        <w:rPr>
          <w:rFonts w:cs="Arial"/>
          <w:u w:val="single"/>
        </w:rPr>
        <w:t>Building and Infrastructure Renewals Ratio</w:t>
      </w:r>
    </w:p>
    <w:p w:rsidR="00884A67" w:rsidRDefault="00884A67" w:rsidP="00884A67">
      <w:pPr>
        <w:autoSpaceDE w:val="0"/>
        <w:autoSpaceDN w:val="0"/>
        <w:adjustRightInd w:val="0"/>
        <w:rPr>
          <w:rFonts w:cs="Arial"/>
        </w:rPr>
      </w:pPr>
      <w:r>
        <w:rPr>
          <w:rFonts w:cs="Arial"/>
        </w:rPr>
        <w:t>Benchmark = Greater than 1.0x</w:t>
      </w:r>
    </w:p>
    <w:p w:rsidR="00884A67" w:rsidRDefault="00884A67" w:rsidP="00884A67">
      <w:pPr>
        <w:autoSpaceDE w:val="0"/>
        <w:autoSpaceDN w:val="0"/>
        <w:adjustRightInd w:val="0"/>
        <w:rPr>
          <w:rFonts w:cs="Arial"/>
        </w:rPr>
      </w:pPr>
      <w:r>
        <w:rPr>
          <w:rFonts w:cs="Arial"/>
        </w:rPr>
        <w:t>Ratio = Asset renewals / depreciation of building and infrastructure assets</w:t>
      </w:r>
    </w:p>
    <w:p w:rsidR="00884A67" w:rsidRPr="002411D7" w:rsidRDefault="00884A67" w:rsidP="00884A67">
      <w:pPr>
        <w:autoSpaceDE w:val="0"/>
        <w:autoSpaceDN w:val="0"/>
        <w:adjustRightInd w:val="0"/>
        <w:rPr>
          <w:rFonts w:cs="Arial"/>
        </w:rPr>
      </w:pPr>
      <w:r>
        <w:rPr>
          <w:rFonts w:cs="Arial"/>
        </w:rPr>
        <w:t>This ratio compares the proportion spent on infrastructure asset renewals and the asset’s deterioration measured by its accounting depreciation.  Asset renewal represents the replacement or refurbishment of existing assets to an equivalent capacity or performance as opposed to the acquisition of new assets or the refurbishment of old assets that increase capacity or performance.</w:t>
      </w:r>
    </w:p>
    <w:p w:rsidR="00884A67" w:rsidRPr="00FD7D9A" w:rsidRDefault="00884A67" w:rsidP="00884A67">
      <w:pPr>
        <w:rPr>
          <w:rFonts w:cs="Arial"/>
          <w:u w:val="single"/>
        </w:rPr>
      </w:pPr>
      <w:r w:rsidRPr="00FD7D9A">
        <w:rPr>
          <w:rFonts w:cs="Arial"/>
          <w:u w:val="single"/>
        </w:rPr>
        <w:t>Cash Expense Cover Ratio</w:t>
      </w:r>
    </w:p>
    <w:p w:rsidR="00884A67" w:rsidRPr="00FD7D9A" w:rsidRDefault="00884A67" w:rsidP="00884A67">
      <w:pPr>
        <w:autoSpaceDE w:val="0"/>
        <w:autoSpaceDN w:val="0"/>
        <w:adjustRightInd w:val="0"/>
        <w:rPr>
          <w:rFonts w:cs="Arial"/>
        </w:rPr>
      </w:pPr>
      <w:r w:rsidRPr="00FD7D9A">
        <w:rPr>
          <w:rFonts w:cs="Arial"/>
        </w:rPr>
        <w:t>Benchmark = Greater than 3</w:t>
      </w:r>
      <w:r>
        <w:rPr>
          <w:rFonts w:cs="Arial"/>
        </w:rPr>
        <w:t>.0</w:t>
      </w:r>
      <w:r w:rsidRPr="00FD7D9A">
        <w:rPr>
          <w:rFonts w:cs="Arial"/>
        </w:rPr>
        <w:t xml:space="preserve"> months</w:t>
      </w:r>
    </w:p>
    <w:p w:rsidR="00884A67" w:rsidRPr="00FD7D9A" w:rsidRDefault="00884A67" w:rsidP="00884A67">
      <w:pPr>
        <w:autoSpaceDE w:val="0"/>
        <w:autoSpaceDN w:val="0"/>
        <w:adjustRightInd w:val="0"/>
        <w:rPr>
          <w:rFonts w:cs="Arial"/>
        </w:rPr>
      </w:pPr>
      <w:r w:rsidRPr="00FD7D9A">
        <w:rPr>
          <w:rFonts w:cs="Arial"/>
        </w:rPr>
        <w:t xml:space="preserve">Ratio = </w:t>
      </w:r>
      <w:r>
        <w:rPr>
          <w:rFonts w:cs="Arial"/>
        </w:rPr>
        <w:t>c</w:t>
      </w:r>
      <w:r w:rsidRPr="00FD7D9A">
        <w:rPr>
          <w:rFonts w:cs="Arial"/>
        </w:rPr>
        <w:t xml:space="preserve">urrent year’s cash and cash equivalents / </w:t>
      </w:r>
      <w:r w:rsidR="00AD54A7">
        <w:rPr>
          <w:rFonts w:cs="Arial"/>
        </w:rPr>
        <w:t>(</w:t>
      </w:r>
      <w:r>
        <w:rPr>
          <w:rFonts w:cs="Arial"/>
        </w:rPr>
        <w:t>t</w:t>
      </w:r>
      <w:r w:rsidRPr="00FD7D9A">
        <w:rPr>
          <w:rFonts w:cs="Arial"/>
        </w:rPr>
        <w:t>otal expenses – depreciation – interest costs</w:t>
      </w:r>
      <w:r w:rsidR="00AD54A7">
        <w:rPr>
          <w:rFonts w:cs="Arial"/>
        </w:rPr>
        <w:t>)*12</w:t>
      </w:r>
    </w:p>
    <w:p w:rsidR="00884A67" w:rsidRPr="00FD7D9A" w:rsidRDefault="00884A67" w:rsidP="00884A67">
      <w:pPr>
        <w:autoSpaceDE w:val="0"/>
        <w:autoSpaceDN w:val="0"/>
        <w:adjustRightInd w:val="0"/>
        <w:rPr>
          <w:rFonts w:cs="Arial"/>
        </w:rPr>
      </w:pPr>
      <w:r w:rsidRPr="00FD7D9A">
        <w:rPr>
          <w:rFonts w:cs="Arial"/>
        </w:rPr>
        <w:lastRenderedPageBreak/>
        <w:t xml:space="preserve">This liquidity ratio indicates the number of months </w:t>
      </w:r>
      <w:r>
        <w:rPr>
          <w:rFonts w:cs="Arial"/>
        </w:rPr>
        <w:t>a c</w:t>
      </w:r>
      <w:r w:rsidRPr="00FD7D9A">
        <w:rPr>
          <w:rFonts w:cs="Arial"/>
        </w:rPr>
        <w:t>ouncil can continue paying for its immediate expenses without additional cash inflow</w:t>
      </w:r>
      <w:r>
        <w:rPr>
          <w:rFonts w:cs="Arial"/>
        </w:rPr>
        <w:t>.</w:t>
      </w:r>
    </w:p>
    <w:p w:rsidR="00884A67" w:rsidRPr="00FD7D9A" w:rsidRDefault="00884A67" w:rsidP="00884A67">
      <w:pPr>
        <w:rPr>
          <w:rFonts w:cs="Arial"/>
          <w:u w:val="single"/>
        </w:rPr>
      </w:pPr>
      <w:r w:rsidRPr="00FD7D9A">
        <w:rPr>
          <w:rFonts w:cs="Arial"/>
          <w:u w:val="single"/>
        </w:rPr>
        <w:t>Capital Expenditure Ratio</w:t>
      </w:r>
    </w:p>
    <w:p w:rsidR="00884A67" w:rsidRPr="00FD7D9A" w:rsidRDefault="00884A67" w:rsidP="00884A67">
      <w:pPr>
        <w:autoSpaceDE w:val="0"/>
        <w:autoSpaceDN w:val="0"/>
        <w:adjustRightInd w:val="0"/>
        <w:rPr>
          <w:rFonts w:cs="Arial"/>
        </w:rPr>
      </w:pPr>
      <w:r w:rsidRPr="00FD7D9A">
        <w:rPr>
          <w:rFonts w:cs="Arial"/>
        </w:rPr>
        <w:t>Benchmark = Greater than 1.1</w:t>
      </w:r>
      <w:r>
        <w:rPr>
          <w:rFonts w:cs="Arial"/>
        </w:rPr>
        <w:t>x</w:t>
      </w:r>
    </w:p>
    <w:p w:rsidR="00884A67" w:rsidRPr="00FD7D9A" w:rsidRDefault="00884A67" w:rsidP="00884A67">
      <w:pPr>
        <w:autoSpaceDE w:val="0"/>
        <w:autoSpaceDN w:val="0"/>
        <w:adjustRightInd w:val="0"/>
        <w:rPr>
          <w:rFonts w:cs="Arial"/>
        </w:rPr>
      </w:pPr>
      <w:r w:rsidRPr="00FD7D9A">
        <w:rPr>
          <w:rFonts w:cs="Arial"/>
        </w:rPr>
        <w:t xml:space="preserve">Ratio = </w:t>
      </w:r>
      <w:r>
        <w:rPr>
          <w:rFonts w:cs="Arial"/>
        </w:rPr>
        <w:t>a</w:t>
      </w:r>
      <w:r w:rsidRPr="00FD7D9A">
        <w:rPr>
          <w:rFonts w:cs="Arial"/>
        </w:rPr>
        <w:t>nnual capital expenditure / annual depreciation</w:t>
      </w:r>
    </w:p>
    <w:p w:rsidR="00884A67" w:rsidRPr="00FD7D9A" w:rsidRDefault="00884A67" w:rsidP="00884A67">
      <w:pPr>
        <w:autoSpaceDE w:val="0"/>
        <w:autoSpaceDN w:val="0"/>
        <w:adjustRightInd w:val="0"/>
        <w:rPr>
          <w:rFonts w:cs="Arial"/>
        </w:rPr>
      </w:pPr>
      <w:r w:rsidRPr="00FD7D9A">
        <w:rPr>
          <w:rFonts w:cs="Arial"/>
        </w:rPr>
        <w:t xml:space="preserve">This indicates the extent to which </w:t>
      </w:r>
      <w:r>
        <w:rPr>
          <w:rFonts w:cs="Arial"/>
        </w:rPr>
        <w:t>a c</w:t>
      </w:r>
      <w:r w:rsidRPr="00FD7D9A">
        <w:rPr>
          <w:rFonts w:cs="Arial"/>
        </w:rPr>
        <w:t>ouncil is forecasting to expand its asset base</w:t>
      </w:r>
      <w:r>
        <w:rPr>
          <w:rFonts w:cs="Arial"/>
        </w:rPr>
        <w:t xml:space="preserve"> with capital expenditure spent on both new assets, and replacement and renewal of existing assets</w:t>
      </w:r>
      <w:r w:rsidRPr="00FD7D9A">
        <w:rPr>
          <w:rFonts w:cs="Arial"/>
        </w:rPr>
        <w:t>.</w:t>
      </w:r>
    </w:p>
    <w:p w:rsidR="00884A67" w:rsidRPr="00FD7D9A" w:rsidRDefault="00884A67" w:rsidP="00884A67">
      <w:pPr>
        <w:rPr>
          <w:rFonts w:cs="Arial"/>
          <w:u w:val="single"/>
        </w:rPr>
      </w:pPr>
      <w:r w:rsidRPr="00FD7D9A">
        <w:rPr>
          <w:rFonts w:cs="Arial"/>
          <w:u w:val="single"/>
        </w:rPr>
        <w:t>Debt Service Cover Ratio (DSCR)</w:t>
      </w:r>
    </w:p>
    <w:p w:rsidR="00884A67" w:rsidRPr="00FD7D9A" w:rsidRDefault="00884A67" w:rsidP="00884A67">
      <w:pPr>
        <w:autoSpaceDE w:val="0"/>
        <w:autoSpaceDN w:val="0"/>
        <w:adjustRightInd w:val="0"/>
        <w:rPr>
          <w:rFonts w:cs="Arial"/>
        </w:rPr>
      </w:pPr>
      <w:r w:rsidRPr="00FD7D9A">
        <w:rPr>
          <w:rFonts w:cs="Arial"/>
        </w:rPr>
        <w:t>Benchmark = Greater than 2</w:t>
      </w:r>
      <w:r>
        <w:rPr>
          <w:rFonts w:cs="Arial"/>
        </w:rPr>
        <w:t>.0x</w:t>
      </w:r>
    </w:p>
    <w:p w:rsidR="00884A67" w:rsidRPr="00FD7D9A" w:rsidRDefault="00884A67" w:rsidP="00884A67">
      <w:pPr>
        <w:autoSpaceDE w:val="0"/>
        <w:autoSpaceDN w:val="0"/>
        <w:adjustRightInd w:val="0"/>
        <w:rPr>
          <w:rFonts w:cs="Arial"/>
        </w:rPr>
      </w:pPr>
      <w:r w:rsidRPr="00FD7D9A">
        <w:rPr>
          <w:rFonts w:cs="Arial"/>
        </w:rPr>
        <w:t xml:space="preserve">Ratio = </w:t>
      </w:r>
      <w:r>
        <w:rPr>
          <w:rFonts w:cs="Arial"/>
        </w:rPr>
        <w:t>o</w:t>
      </w:r>
      <w:r w:rsidRPr="00FD7D9A">
        <w:rPr>
          <w:rFonts w:cs="Arial"/>
        </w:rPr>
        <w:t xml:space="preserve">perating results before interest and depreciation (EBITDA) / </w:t>
      </w:r>
      <w:r>
        <w:rPr>
          <w:rFonts w:cs="Arial"/>
        </w:rPr>
        <w:t>p</w:t>
      </w:r>
      <w:r w:rsidRPr="00FD7D9A">
        <w:rPr>
          <w:rFonts w:cs="Arial"/>
        </w:rPr>
        <w:t xml:space="preserve">rincipal </w:t>
      </w:r>
      <w:r>
        <w:rPr>
          <w:rFonts w:cs="Arial"/>
        </w:rPr>
        <w:t>r</w:t>
      </w:r>
      <w:r w:rsidRPr="00FD7D9A">
        <w:rPr>
          <w:rFonts w:cs="Arial"/>
        </w:rPr>
        <w:t>epayments (</w:t>
      </w:r>
      <w:r>
        <w:rPr>
          <w:rFonts w:cs="Arial"/>
        </w:rPr>
        <w:t>from the s</w:t>
      </w:r>
      <w:r w:rsidRPr="00FD7D9A">
        <w:rPr>
          <w:rFonts w:cs="Arial"/>
        </w:rPr>
        <w:t xml:space="preserve">tatement of </w:t>
      </w:r>
      <w:r>
        <w:rPr>
          <w:rFonts w:cs="Arial"/>
        </w:rPr>
        <w:t>c</w:t>
      </w:r>
      <w:r w:rsidRPr="00FD7D9A">
        <w:rPr>
          <w:rFonts w:cs="Arial"/>
        </w:rPr>
        <w:t xml:space="preserve">ash </w:t>
      </w:r>
      <w:r>
        <w:rPr>
          <w:rFonts w:cs="Arial"/>
        </w:rPr>
        <w:t>f</w:t>
      </w:r>
      <w:r w:rsidRPr="00FD7D9A">
        <w:rPr>
          <w:rFonts w:cs="Arial"/>
        </w:rPr>
        <w:t xml:space="preserve">lows) + </w:t>
      </w:r>
      <w:r>
        <w:rPr>
          <w:rFonts w:cs="Arial"/>
        </w:rPr>
        <w:t>b</w:t>
      </w:r>
      <w:r w:rsidRPr="00FD7D9A">
        <w:rPr>
          <w:rFonts w:cs="Arial"/>
        </w:rPr>
        <w:t xml:space="preserve">orrowing </w:t>
      </w:r>
      <w:r>
        <w:rPr>
          <w:rFonts w:cs="Arial"/>
        </w:rPr>
        <w:t>i</w:t>
      </w:r>
      <w:r w:rsidRPr="00FD7D9A">
        <w:rPr>
          <w:rFonts w:cs="Arial"/>
        </w:rPr>
        <w:t xml:space="preserve">nterest </w:t>
      </w:r>
      <w:r>
        <w:rPr>
          <w:rFonts w:cs="Arial"/>
        </w:rPr>
        <w:t>c</w:t>
      </w:r>
      <w:r w:rsidRPr="00FD7D9A">
        <w:rPr>
          <w:rFonts w:cs="Arial"/>
        </w:rPr>
        <w:t>osts (</w:t>
      </w:r>
      <w:r>
        <w:rPr>
          <w:rFonts w:cs="Arial"/>
        </w:rPr>
        <w:t>from the i</w:t>
      </w:r>
      <w:r w:rsidRPr="00FD7D9A">
        <w:rPr>
          <w:rFonts w:cs="Arial"/>
        </w:rPr>
        <w:t xml:space="preserve">ncome </w:t>
      </w:r>
      <w:r>
        <w:rPr>
          <w:rFonts w:cs="Arial"/>
        </w:rPr>
        <w:t>statement</w:t>
      </w:r>
      <w:r w:rsidRPr="00FD7D9A">
        <w:rPr>
          <w:rFonts w:cs="Arial"/>
        </w:rPr>
        <w:t>)</w:t>
      </w:r>
    </w:p>
    <w:p w:rsidR="00884A67" w:rsidRPr="00155E77" w:rsidRDefault="00884A67" w:rsidP="00884A67">
      <w:pPr>
        <w:autoSpaceDE w:val="0"/>
        <w:autoSpaceDN w:val="0"/>
        <w:adjustRightInd w:val="0"/>
        <w:rPr>
          <w:rFonts w:cs="Arial"/>
        </w:rPr>
      </w:pPr>
      <w:r w:rsidRPr="00155E77">
        <w:rPr>
          <w:rFonts w:cs="Arial"/>
        </w:rPr>
        <w:t>This ratio measures the availability of cash to service debt including interest, principal and lease payments</w:t>
      </w:r>
    </w:p>
    <w:p w:rsidR="00AD54A7" w:rsidRPr="00FD7D9A" w:rsidRDefault="00AD54A7" w:rsidP="00AD54A7">
      <w:pPr>
        <w:rPr>
          <w:rFonts w:cs="Arial"/>
          <w:u w:val="single"/>
        </w:rPr>
      </w:pPr>
      <w:r>
        <w:rPr>
          <w:rFonts w:cs="Arial"/>
          <w:u w:val="single"/>
        </w:rPr>
        <w:t xml:space="preserve">Building and </w:t>
      </w:r>
      <w:r w:rsidRPr="00FD7D9A">
        <w:rPr>
          <w:rFonts w:cs="Arial"/>
          <w:u w:val="single"/>
        </w:rPr>
        <w:t>Infrastructure Backlog Ratio</w:t>
      </w:r>
    </w:p>
    <w:p w:rsidR="00884A67" w:rsidRDefault="00884A67" w:rsidP="00884A67">
      <w:pPr>
        <w:autoSpaceDE w:val="0"/>
        <w:autoSpaceDN w:val="0"/>
        <w:adjustRightInd w:val="0"/>
        <w:rPr>
          <w:rFonts w:cs="Arial"/>
        </w:rPr>
      </w:pPr>
      <w:r>
        <w:rPr>
          <w:rFonts w:cs="Arial"/>
        </w:rPr>
        <w:t>Benchmark = Less than 0.02x</w:t>
      </w:r>
    </w:p>
    <w:p w:rsidR="00884A67" w:rsidRPr="00FD7D9A" w:rsidRDefault="00884A67" w:rsidP="00884A67">
      <w:pPr>
        <w:autoSpaceDE w:val="0"/>
        <w:autoSpaceDN w:val="0"/>
        <w:adjustRightInd w:val="0"/>
        <w:rPr>
          <w:rFonts w:cs="Arial"/>
        </w:rPr>
      </w:pPr>
      <w:r w:rsidRPr="00FD7D9A">
        <w:rPr>
          <w:rFonts w:cs="Arial"/>
        </w:rPr>
        <w:t xml:space="preserve">Ratio = </w:t>
      </w:r>
      <w:r>
        <w:rPr>
          <w:rFonts w:cs="Arial"/>
        </w:rPr>
        <w:t>e</w:t>
      </w:r>
      <w:r w:rsidRPr="00FD7D9A">
        <w:rPr>
          <w:rFonts w:cs="Arial"/>
        </w:rPr>
        <w:t xml:space="preserve">stimated cost to bring </w:t>
      </w:r>
      <w:r>
        <w:rPr>
          <w:rFonts w:cs="Arial"/>
        </w:rPr>
        <w:t>a</w:t>
      </w:r>
      <w:r w:rsidRPr="00FD7D9A">
        <w:rPr>
          <w:rFonts w:cs="Arial"/>
        </w:rPr>
        <w:t>ssets to a satisfactory condition (</w:t>
      </w:r>
      <w:r>
        <w:rPr>
          <w:rFonts w:cs="Arial"/>
        </w:rPr>
        <w:t xml:space="preserve">from </w:t>
      </w:r>
      <w:r w:rsidRPr="00FD7D9A">
        <w:rPr>
          <w:rFonts w:cs="Arial"/>
        </w:rPr>
        <w:t>Special Sch</w:t>
      </w:r>
      <w:r>
        <w:rPr>
          <w:rFonts w:cs="Arial"/>
        </w:rPr>
        <w:t>edule</w:t>
      </w:r>
      <w:r w:rsidRPr="00FD7D9A">
        <w:rPr>
          <w:rFonts w:cs="Arial"/>
        </w:rPr>
        <w:t xml:space="preserve"> 7) / </w:t>
      </w:r>
      <w:r>
        <w:rPr>
          <w:rFonts w:cs="Arial"/>
        </w:rPr>
        <w:t>t</w:t>
      </w:r>
      <w:r w:rsidRPr="00FD7D9A">
        <w:rPr>
          <w:rFonts w:cs="Arial"/>
        </w:rPr>
        <w:t xml:space="preserve">otal </w:t>
      </w:r>
      <w:r>
        <w:rPr>
          <w:rFonts w:cs="Arial"/>
        </w:rPr>
        <w:t>i</w:t>
      </w:r>
      <w:r w:rsidRPr="00FD7D9A">
        <w:rPr>
          <w:rFonts w:cs="Arial"/>
        </w:rPr>
        <w:t xml:space="preserve">nfrastructure </w:t>
      </w:r>
      <w:r>
        <w:rPr>
          <w:rFonts w:cs="Arial"/>
        </w:rPr>
        <w:t>a</w:t>
      </w:r>
      <w:r w:rsidRPr="00FD7D9A">
        <w:rPr>
          <w:rFonts w:cs="Arial"/>
        </w:rPr>
        <w:t>ssets (</w:t>
      </w:r>
      <w:r>
        <w:rPr>
          <w:rFonts w:cs="Arial"/>
        </w:rPr>
        <w:t xml:space="preserve">from </w:t>
      </w:r>
      <w:r w:rsidRPr="00FD7D9A">
        <w:rPr>
          <w:rFonts w:cs="Arial"/>
        </w:rPr>
        <w:t>Special Sch</w:t>
      </w:r>
      <w:r>
        <w:rPr>
          <w:rFonts w:cs="Arial"/>
        </w:rPr>
        <w:t>edule</w:t>
      </w:r>
      <w:r w:rsidRPr="00FD7D9A">
        <w:rPr>
          <w:rFonts w:cs="Arial"/>
        </w:rPr>
        <w:t xml:space="preserve"> 7)</w:t>
      </w:r>
    </w:p>
    <w:p w:rsidR="00884A67" w:rsidRPr="00FD7D9A" w:rsidRDefault="00884A67" w:rsidP="00884A67">
      <w:pPr>
        <w:autoSpaceDE w:val="0"/>
        <w:autoSpaceDN w:val="0"/>
        <w:adjustRightInd w:val="0"/>
        <w:rPr>
          <w:rFonts w:cs="Arial"/>
        </w:rPr>
      </w:pPr>
      <w:r w:rsidRPr="00FD7D9A">
        <w:rPr>
          <w:rFonts w:cs="Arial"/>
        </w:rPr>
        <w:t>Th</w:t>
      </w:r>
      <w:r>
        <w:rPr>
          <w:rFonts w:cs="Arial"/>
        </w:rPr>
        <w:t>is</w:t>
      </w:r>
      <w:r w:rsidRPr="00FD7D9A">
        <w:rPr>
          <w:rFonts w:cs="Arial"/>
        </w:rPr>
        <w:t xml:space="preserve"> ratio shows what proportion the backlog is against total value of </w:t>
      </w:r>
      <w:r>
        <w:rPr>
          <w:rFonts w:cs="Arial"/>
        </w:rPr>
        <w:t>a c</w:t>
      </w:r>
      <w:r w:rsidRPr="00FD7D9A">
        <w:rPr>
          <w:rFonts w:cs="Arial"/>
        </w:rPr>
        <w:t xml:space="preserve">ouncil’s infrastructure.  </w:t>
      </w:r>
    </w:p>
    <w:p w:rsidR="00884A67" w:rsidRPr="00FD7D9A" w:rsidRDefault="00884A67" w:rsidP="00884A67">
      <w:pPr>
        <w:rPr>
          <w:rFonts w:cs="Arial"/>
          <w:u w:val="single"/>
        </w:rPr>
      </w:pPr>
      <w:r w:rsidRPr="00FD7D9A">
        <w:rPr>
          <w:rFonts w:cs="Arial"/>
          <w:u w:val="single"/>
        </w:rPr>
        <w:t xml:space="preserve">Interest Cover Ratio </w:t>
      </w:r>
    </w:p>
    <w:p w:rsidR="00884A67" w:rsidRPr="00FD7D9A" w:rsidRDefault="00884A67" w:rsidP="00884A67">
      <w:pPr>
        <w:autoSpaceDE w:val="0"/>
        <w:autoSpaceDN w:val="0"/>
        <w:adjustRightInd w:val="0"/>
        <w:rPr>
          <w:rFonts w:cs="Arial"/>
        </w:rPr>
      </w:pPr>
      <w:r w:rsidRPr="00FD7D9A">
        <w:rPr>
          <w:rFonts w:cs="Arial"/>
        </w:rPr>
        <w:t>Benchmark = Greater than 4</w:t>
      </w:r>
      <w:r>
        <w:rPr>
          <w:rFonts w:cs="Arial"/>
        </w:rPr>
        <w:t>.0x</w:t>
      </w:r>
    </w:p>
    <w:p w:rsidR="00884A67" w:rsidRPr="00FD7D9A" w:rsidRDefault="00884A67" w:rsidP="00884A67">
      <w:pPr>
        <w:autoSpaceDE w:val="0"/>
        <w:autoSpaceDN w:val="0"/>
        <w:adjustRightInd w:val="0"/>
        <w:rPr>
          <w:rFonts w:cs="Arial"/>
        </w:rPr>
      </w:pPr>
      <w:r w:rsidRPr="00FD7D9A">
        <w:rPr>
          <w:rFonts w:cs="Arial"/>
        </w:rPr>
        <w:t xml:space="preserve">Ratio = EBITDA / </w:t>
      </w:r>
      <w:r>
        <w:rPr>
          <w:rFonts w:cs="Arial"/>
        </w:rPr>
        <w:t>i</w:t>
      </w:r>
      <w:r w:rsidRPr="00FD7D9A">
        <w:rPr>
          <w:rFonts w:cs="Arial"/>
        </w:rPr>
        <w:t xml:space="preserve">nterest </w:t>
      </w:r>
      <w:r>
        <w:rPr>
          <w:rFonts w:cs="Arial"/>
        </w:rPr>
        <w:t>e</w:t>
      </w:r>
      <w:r w:rsidRPr="00FD7D9A">
        <w:rPr>
          <w:rFonts w:cs="Arial"/>
        </w:rPr>
        <w:t>xpense (</w:t>
      </w:r>
      <w:r>
        <w:rPr>
          <w:rFonts w:cs="Arial"/>
        </w:rPr>
        <w:t>from the i</w:t>
      </w:r>
      <w:r w:rsidRPr="00FD7D9A">
        <w:rPr>
          <w:rFonts w:cs="Arial"/>
        </w:rPr>
        <w:t xml:space="preserve">ncome </w:t>
      </w:r>
      <w:r>
        <w:rPr>
          <w:rFonts w:cs="Arial"/>
        </w:rPr>
        <w:t>s</w:t>
      </w:r>
      <w:r w:rsidRPr="00FD7D9A">
        <w:rPr>
          <w:rFonts w:cs="Arial"/>
        </w:rPr>
        <w:t>tatement)</w:t>
      </w:r>
    </w:p>
    <w:p w:rsidR="00884A67" w:rsidRPr="00155E77" w:rsidRDefault="00884A67" w:rsidP="00884A67">
      <w:pPr>
        <w:autoSpaceDE w:val="0"/>
        <w:autoSpaceDN w:val="0"/>
        <w:adjustRightInd w:val="0"/>
        <w:rPr>
          <w:rFonts w:cs="Arial"/>
        </w:rPr>
      </w:pPr>
      <w:r>
        <w:rPr>
          <w:rFonts w:cs="Arial"/>
        </w:rPr>
        <w:t>This ratio i</w:t>
      </w:r>
      <w:r w:rsidRPr="00FD7D9A">
        <w:rPr>
          <w:rFonts w:cs="Arial"/>
        </w:rPr>
        <w:t xml:space="preserve">ndicates the extent to which </w:t>
      </w:r>
      <w:r>
        <w:rPr>
          <w:rFonts w:cs="Arial"/>
        </w:rPr>
        <w:t>a c</w:t>
      </w:r>
      <w:r w:rsidRPr="00FD7D9A">
        <w:rPr>
          <w:rFonts w:cs="Arial"/>
        </w:rPr>
        <w:t xml:space="preserve">ouncil can service its interest bearing debt and take on additional borrowings. It measures the burden of the current interest expense upon </w:t>
      </w:r>
      <w:r>
        <w:rPr>
          <w:rFonts w:cs="Arial"/>
        </w:rPr>
        <w:t>a c</w:t>
      </w:r>
      <w:r w:rsidRPr="00FD7D9A">
        <w:rPr>
          <w:rFonts w:cs="Arial"/>
        </w:rPr>
        <w:t>ouncil’s operating cash</w:t>
      </w:r>
      <w:r w:rsidRPr="0018203F">
        <w:rPr>
          <w:rFonts w:cs="Arial"/>
        </w:rPr>
        <w:t>.</w:t>
      </w:r>
    </w:p>
    <w:p w:rsidR="00884A67" w:rsidRPr="00FD7D9A" w:rsidRDefault="00884A67" w:rsidP="00884A67">
      <w:pPr>
        <w:rPr>
          <w:rFonts w:cs="Arial"/>
          <w:u w:val="single"/>
        </w:rPr>
      </w:pPr>
      <w:r w:rsidRPr="00FD7D9A">
        <w:rPr>
          <w:rFonts w:cs="Arial"/>
          <w:u w:val="single"/>
        </w:rPr>
        <w:t>Operating Ratio</w:t>
      </w:r>
    </w:p>
    <w:p w:rsidR="00884A67" w:rsidRPr="00FD7D9A" w:rsidRDefault="00884A67" w:rsidP="00884A67">
      <w:pPr>
        <w:autoSpaceDE w:val="0"/>
        <w:autoSpaceDN w:val="0"/>
        <w:adjustRightInd w:val="0"/>
        <w:rPr>
          <w:rFonts w:cs="Arial"/>
        </w:rPr>
      </w:pPr>
      <w:r w:rsidRPr="00FD7D9A">
        <w:rPr>
          <w:rFonts w:cs="Arial"/>
        </w:rPr>
        <w:t xml:space="preserve">Benchmark = Better than </w:t>
      </w:r>
      <w:r>
        <w:rPr>
          <w:rFonts w:cs="Arial"/>
        </w:rPr>
        <w:t xml:space="preserve">negative </w:t>
      </w:r>
      <w:r w:rsidRPr="00FD7D9A">
        <w:rPr>
          <w:rFonts w:cs="Arial"/>
        </w:rPr>
        <w:t>4%</w:t>
      </w:r>
    </w:p>
    <w:p w:rsidR="00884A67" w:rsidRPr="00FD7D9A" w:rsidRDefault="00884A67" w:rsidP="00884A67">
      <w:pPr>
        <w:autoSpaceDE w:val="0"/>
        <w:autoSpaceDN w:val="0"/>
        <w:adjustRightInd w:val="0"/>
        <w:rPr>
          <w:rFonts w:cs="Arial"/>
        </w:rPr>
      </w:pPr>
      <w:r w:rsidRPr="00FD7D9A">
        <w:rPr>
          <w:rFonts w:cs="Arial"/>
        </w:rPr>
        <w:t>Ratio = (</w:t>
      </w:r>
      <w:r>
        <w:rPr>
          <w:rFonts w:cs="Arial"/>
        </w:rPr>
        <w:t>o</w:t>
      </w:r>
      <w:r w:rsidRPr="00FD7D9A">
        <w:rPr>
          <w:rFonts w:cs="Arial"/>
        </w:rPr>
        <w:t xml:space="preserve">perating </w:t>
      </w:r>
      <w:r>
        <w:rPr>
          <w:rFonts w:cs="Arial"/>
        </w:rPr>
        <w:t>r</w:t>
      </w:r>
      <w:r w:rsidRPr="00FD7D9A">
        <w:rPr>
          <w:rFonts w:cs="Arial"/>
        </w:rPr>
        <w:t xml:space="preserve">evenue excluding </w:t>
      </w:r>
      <w:r>
        <w:rPr>
          <w:rFonts w:cs="Arial"/>
        </w:rPr>
        <w:t>c</w:t>
      </w:r>
      <w:r w:rsidRPr="00FD7D9A">
        <w:rPr>
          <w:rFonts w:cs="Arial"/>
        </w:rPr>
        <w:t xml:space="preserve">apital </w:t>
      </w:r>
      <w:r>
        <w:rPr>
          <w:rFonts w:cs="Arial"/>
        </w:rPr>
        <w:t>g</w:t>
      </w:r>
      <w:r w:rsidRPr="00FD7D9A">
        <w:rPr>
          <w:rFonts w:cs="Arial"/>
        </w:rPr>
        <w:t xml:space="preserve">rants and </w:t>
      </w:r>
      <w:r>
        <w:rPr>
          <w:rFonts w:cs="Arial"/>
        </w:rPr>
        <w:t>c</w:t>
      </w:r>
      <w:r w:rsidRPr="00FD7D9A">
        <w:rPr>
          <w:rFonts w:cs="Arial"/>
        </w:rPr>
        <w:t xml:space="preserve">ontributions – </w:t>
      </w:r>
      <w:r>
        <w:rPr>
          <w:rFonts w:cs="Arial"/>
        </w:rPr>
        <w:t>o</w:t>
      </w:r>
      <w:r w:rsidRPr="00FD7D9A">
        <w:rPr>
          <w:rFonts w:cs="Arial"/>
        </w:rPr>
        <w:t xml:space="preserve">perating </w:t>
      </w:r>
      <w:r>
        <w:rPr>
          <w:rFonts w:cs="Arial"/>
        </w:rPr>
        <w:t>e</w:t>
      </w:r>
      <w:r w:rsidRPr="00FD7D9A">
        <w:rPr>
          <w:rFonts w:cs="Arial"/>
        </w:rPr>
        <w:t xml:space="preserve">xpenses) / </w:t>
      </w:r>
      <w:r>
        <w:rPr>
          <w:rFonts w:cs="Arial"/>
        </w:rPr>
        <w:t>o</w:t>
      </w:r>
      <w:r w:rsidRPr="00FD7D9A">
        <w:rPr>
          <w:rFonts w:cs="Arial"/>
        </w:rPr>
        <w:t xml:space="preserve">perating </w:t>
      </w:r>
      <w:r>
        <w:rPr>
          <w:rFonts w:cs="Arial"/>
        </w:rPr>
        <w:t>r</w:t>
      </w:r>
      <w:r w:rsidRPr="00FD7D9A">
        <w:rPr>
          <w:rFonts w:cs="Arial"/>
        </w:rPr>
        <w:t xml:space="preserve">evenue excluding </w:t>
      </w:r>
      <w:r>
        <w:rPr>
          <w:rFonts w:cs="Arial"/>
        </w:rPr>
        <w:t>c</w:t>
      </w:r>
      <w:r w:rsidRPr="00FD7D9A">
        <w:rPr>
          <w:rFonts w:cs="Arial"/>
        </w:rPr>
        <w:t xml:space="preserve">apital </w:t>
      </w:r>
      <w:r>
        <w:rPr>
          <w:rFonts w:cs="Arial"/>
        </w:rPr>
        <w:t>g</w:t>
      </w:r>
      <w:r w:rsidRPr="00FD7D9A">
        <w:rPr>
          <w:rFonts w:cs="Arial"/>
        </w:rPr>
        <w:t xml:space="preserve">rants and </w:t>
      </w:r>
      <w:r>
        <w:rPr>
          <w:rFonts w:cs="Arial"/>
        </w:rPr>
        <w:t>c</w:t>
      </w:r>
      <w:r w:rsidRPr="00FD7D9A">
        <w:rPr>
          <w:rFonts w:cs="Arial"/>
        </w:rPr>
        <w:t>ontributions</w:t>
      </w:r>
    </w:p>
    <w:p w:rsidR="00884A67" w:rsidRPr="00FD7D9A" w:rsidRDefault="00884A67" w:rsidP="00884A67">
      <w:pPr>
        <w:autoSpaceDE w:val="0"/>
        <w:autoSpaceDN w:val="0"/>
        <w:adjustRightInd w:val="0"/>
        <w:rPr>
          <w:rFonts w:cs="Arial"/>
        </w:rPr>
      </w:pPr>
      <w:r>
        <w:rPr>
          <w:rFonts w:cs="Arial"/>
        </w:rPr>
        <w:t>This ratio m</w:t>
      </w:r>
      <w:r w:rsidRPr="00FD7D9A">
        <w:rPr>
          <w:rFonts w:cs="Arial"/>
        </w:rPr>
        <w:t xml:space="preserve">easures a </w:t>
      </w:r>
      <w:r>
        <w:rPr>
          <w:rFonts w:cs="Arial"/>
        </w:rPr>
        <w:t>c</w:t>
      </w:r>
      <w:r w:rsidRPr="00FD7D9A">
        <w:rPr>
          <w:rFonts w:cs="Arial"/>
        </w:rPr>
        <w:t>ouncil’s ability to contain operating expenditure within operating revenue</w:t>
      </w:r>
      <w:r>
        <w:rPr>
          <w:rFonts w:cs="Arial"/>
        </w:rPr>
        <w:t>.</w:t>
      </w:r>
    </w:p>
    <w:p w:rsidR="00884A67" w:rsidRPr="00FD7D9A" w:rsidRDefault="00884A67" w:rsidP="00884A67">
      <w:pPr>
        <w:rPr>
          <w:rFonts w:cs="Arial"/>
          <w:u w:val="single"/>
        </w:rPr>
      </w:pPr>
      <w:r w:rsidRPr="00FD7D9A">
        <w:rPr>
          <w:rFonts w:cs="Arial"/>
          <w:u w:val="single"/>
        </w:rPr>
        <w:t xml:space="preserve">Own Source Operating Revenue </w:t>
      </w:r>
      <w:r>
        <w:rPr>
          <w:rFonts w:cs="Arial"/>
          <w:u w:val="single"/>
        </w:rPr>
        <w:t>R</w:t>
      </w:r>
      <w:r w:rsidRPr="00FD7D9A">
        <w:rPr>
          <w:rFonts w:cs="Arial"/>
          <w:u w:val="single"/>
        </w:rPr>
        <w:t>atio</w:t>
      </w:r>
    </w:p>
    <w:p w:rsidR="00884A67" w:rsidRPr="00FD7D9A" w:rsidRDefault="00884A67" w:rsidP="00884A67">
      <w:pPr>
        <w:autoSpaceDE w:val="0"/>
        <w:autoSpaceDN w:val="0"/>
        <w:adjustRightInd w:val="0"/>
        <w:rPr>
          <w:rFonts w:cs="Arial"/>
        </w:rPr>
      </w:pPr>
      <w:r w:rsidRPr="00FD7D9A">
        <w:rPr>
          <w:rFonts w:cs="Arial"/>
        </w:rPr>
        <w:lastRenderedPageBreak/>
        <w:t>Benchmark = Greater than 60%</w:t>
      </w:r>
    </w:p>
    <w:p w:rsidR="00884A67" w:rsidRPr="00FD7D9A" w:rsidRDefault="00884A67" w:rsidP="00884A67">
      <w:pPr>
        <w:autoSpaceDE w:val="0"/>
        <w:autoSpaceDN w:val="0"/>
        <w:adjustRightInd w:val="0"/>
        <w:rPr>
          <w:rFonts w:cs="Arial"/>
        </w:rPr>
      </w:pPr>
      <w:r w:rsidRPr="00FD7D9A">
        <w:rPr>
          <w:rFonts w:cs="Arial"/>
        </w:rPr>
        <w:t>Ratio = rates, utilities and charges / total operating revenue (inclusive of capital grants and contributions</w:t>
      </w:r>
      <w:r>
        <w:rPr>
          <w:rFonts w:cs="Arial"/>
        </w:rPr>
        <w:t>)</w:t>
      </w:r>
    </w:p>
    <w:p w:rsidR="00884A67" w:rsidRPr="00FD7D9A" w:rsidRDefault="00884A67" w:rsidP="00884A67">
      <w:pPr>
        <w:autoSpaceDE w:val="0"/>
        <w:autoSpaceDN w:val="0"/>
        <w:adjustRightInd w:val="0"/>
        <w:rPr>
          <w:rFonts w:cs="Arial"/>
        </w:rPr>
      </w:pPr>
      <w:r w:rsidRPr="00FD7D9A">
        <w:rPr>
          <w:rFonts w:cs="Arial"/>
        </w:rPr>
        <w:t xml:space="preserve">This </w:t>
      </w:r>
      <w:r>
        <w:rPr>
          <w:rFonts w:cs="Arial"/>
        </w:rPr>
        <w:t xml:space="preserve">ratio </w:t>
      </w:r>
      <w:r w:rsidRPr="00FD7D9A">
        <w:rPr>
          <w:rFonts w:cs="Arial"/>
        </w:rPr>
        <w:t xml:space="preserve">measures the level of </w:t>
      </w:r>
      <w:r>
        <w:rPr>
          <w:rFonts w:cs="Arial"/>
        </w:rPr>
        <w:t>a c</w:t>
      </w:r>
      <w:r w:rsidRPr="00FD7D9A">
        <w:rPr>
          <w:rFonts w:cs="Arial"/>
        </w:rPr>
        <w:t xml:space="preserve">ouncil’s fiscal flexibility. It is the degree of reliance on external funding sources such as operating grants and contributions. </w:t>
      </w:r>
      <w:r>
        <w:rPr>
          <w:rFonts w:cs="Arial"/>
        </w:rPr>
        <w:t>A c</w:t>
      </w:r>
      <w:r w:rsidRPr="00FD7D9A">
        <w:rPr>
          <w:rFonts w:cs="Arial"/>
        </w:rPr>
        <w:t>ouncil</w:t>
      </w:r>
      <w:r>
        <w:rPr>
          <w:rFonts w:cs="Arial"/>
        </w:rPr>
        <w:t>’</w:t>
      </w:r>
      <w:r w:rsidRPr="00FD7D9A">
        <w:rPr>
          <w:rFonts w:cs="Arial"/>
        </w:rPr>
        <w:t>s financial flexibility improves the higher the level of its own source revenue.</w:t>
      </w:r>
    </w:p>
    <w:p w:rsidR="00884A67" w:rsidRPr="00FD7D9A" w:rsidRDefault="00884A67" w:rsidP="00884A67">
      <w:pPr>
        <w:rPr>
          <w:rFonts w:cs="Arial"/>
        </w:rPr>
      </w:pPr>
      <w:r w:rsidRPr="00FD7D9A">
        <w:rPr>
          <w:rFonts w:cs="Arial"/>
          <w:u w:val="single"/>
        </w:rPr>
        <w:t>Unrestricted Current Ratio</w:t>
      </w:r>
    </w:p>
    <w:p w:rsidR="00884A67" w:rsidRPr="00155E77" w:rsidRDefault="00884A67" w:rsidP="00884A67">
      <w:pPr>
        <w:autoSpaceDE w:val="0"/>
        <w:autoSpaceDN w:val="0"/>
        <w:adjustRightInd w:val="0"/>
        <w:rPr>
          <w:rFonts w:cs="Arial"/>
        </w:rPr>
      </w:pPr>
      <w:r w:rsidRPr="00155E77">
        <w:rPr>
          <w:rFonts w:cs="Arial"/>
        </w:rPr>
        <w:t>Benchmark = 1.5x (taken from the IPART December 2009 Revenue Framework for Local Government report)</w:t>
      </w:r>
    </w:p>
    <w:p w:rsidR="00884A67" w:rsidRPr="00FD7D9A" w:rsidRDefault="00884A67" w:rsidP="00884A67">
      <w:pPr>
        <w:autoSpaceDE w:val="0"/>
        <w:autoSpaceDN w:val="0"/>
        <w:adjustRightInd w:val="0"/>
        <w:rPr>
          <w:rFonts w:cs="Arial"/>
        </w:rPr>
      </w:pPr>
      <w:r w:rsidRPr="00FD7D9A">
        <w:rPr>
          <w:rFonts w:cs="Arial"/>
        </w:rPr>
        <w:t xml:space="preserve">Ratio = Current </w:t>
      </w:r>
      <w:r>
        <w:rPr>
          <w:rFonts w:cs="Arial"/>
        </w:rPr>
        <w:t>a</w:t>
      </w:r>
      <w:r w:rsidRPr="00FD7D9A">
        <w:rPr>
          <w:rFonts w:cs="Arial"/>
        </w:rPr>
        <w:t xml:space="preserve">ssets less all </w:t>
      </w:r>
      <w:r>
        <w:rPr>
          <w:rFonts w:cs="Arial"/>
        </w:rPr>
        <w:t>e</w:t>
      </w:r>
      <w:r w:rsidRPr="00FD7D9A">
        <w:rPr>
          <w:rFonts w:cs="Arial"/>
        </w:rPr>
        <w:t xml:space="preserve">xternal </w:t>
      </w:r>
      <w:r>
        <w:rPr>
          <w:rFonts w:cs="Arial"/>
        </w:rPr>
        <w:t>r</w:t>
      </w:r>
      <w:r w:rsidRPr="00FD7D9A">
        <w:rPr>
          <w:rFonts w:cs="Arial"/>
        </w:rPr>
        <w:t xml:space="preserve">estrictions / </w:t>
      </w:r>
      <w:r>
        <w:rPr>
          <w:rFonts w:cs="Arial"/>
        </w:rPr>
        <w:t>c</w:t>
      </w:r>
      <w:r w:rsidRPr="00FD7D9A">
        <w:rPr>
          <w:rFonts w:cs="Arial"/>
        </w:rPr>
        <w:t xml:space="preserve">urrent </w:t>
      </w:r>
      <w:r>
        <w:rPr>
          <w:rFonts w:cs="Arial"/>
        </w:rPr>
        <w:t>l</w:t>
      </w:r>
      <w:r w:rsidRPr="00FD7D9A">
        <w:rPr>
          <w:rFonts w:cs="Arial"/>
        </w:rPr>
        <w:t xml:space="preserve">iabilities less </w:t>
      </w:r>
      <w:r>
        <w:rPr>
          <w:rFonts w:cs="Arial"/>
        </w:rPr>
        <w:t>s</w:t>
      </w:r>
      <w:r w:rsidRPr="00FD7D9A">
        <w:rPr>
          <w:rFonts w:cs="Arial"/>
        </w:rPr>
        <w:t xml:space="preserve">pecific </w:t>
      </w:r>
      <w:r>
        <w:rPr>
          <w:rFonts w:cs="Arial"/>
        </w:rPr>
        <w:t>p</w:t>
      </w:r>
      <w:r w:rsidRPr="00FD7D9A">
        <w:rPr>
          <w:rFonts w:cs="Arial"/>
        </w:rPr>
        <w:t xml:space="preserve">urpose </w:t>
      </w:r>
      <w:r>
        <w:rPr>
          <w:rFonts w:cs="Arial"/>
        </w:rPr>
        <w:t>l</w:t>
      </w:r>
      <w:r w:rsidRPr="00FD7D9A">
        <w:rPr>
          <w:rFonts w:cs="Arial"/>
        </w:rPr>
        <w:t>iabilities</w:t>
      </w:r>
    </w:p>
    <w:p w:rsidR="003D5DCE" w:rsidRPr="00884A67" w:rsidRDefault="00884A67" w:rsidP="00884A67">
      <w:pPr>
        <w:autoSpaceDE w:val="0"/>
        <w:autoSpaceDN w:val="0"/>
        <w:adjustRightInd w:val="0"/>
        <w:rPr>
          <w:rFonts w:cs="Arial"/>
        </w:rPr>
      </w:pPr>
      <w:r w:rsidRPr="00FD7D9A">
        <w:rPr>
          <w:rFonts w:cs="Arial"/>
        </w:rPr>
        <w:t>Restrictions placed on various funding sources (e.g.</w:t>
      </w:r>
      <w:r>
        <w:rPr>
          <w:rFonts w:cs="Arial"/>
        </w:rPr>
        <w:t xml:space="preserve"> Section 94 d</w:t>
      </w:r>
      <w:r w:rsidRPr="00FD7D9A">
        <w:rPr>
          <w:rFonts w:cs="Arial"/>
        </w:rPr>
        <w:t>eveloper contributions, RMS contributions) complicate the traditional current ratio</w:t>
      </w:r>
      <w:r>
        <w:rPr>
          <w:rFonts w:cs="Arial"/>
        </w:rPr>
        <w:t xml:space="preserve"> because cash allocated to specific projects are restricted and cannot be used to meet a council’s other operating and borrowing costs</w:t>
      </w:r>
      <w:r w:rsidRPr="00FD7D9A">
        <w:rPr>
          <w:rFonts w:cs="Arial"/>
        </w:rPr>
        <w:t xml:space="preserve">.   The Unrestricted Current </w:t>
      </w:r>
      <w:r>
        <w:rPr>
          <w:rFonts w:cs="Arial"/>
        </w:rPr>
        <w:t>R</w:t>
      </w:r>
      <w:r w:rsidRPr="00FD7D9A">
        <w:rPr>
          <w:rFonts w:cs="Arial"/>
        </w:rPr>
        <w:t xml:space="preserve">atio is specific to local government and is designed to represent </w:t>
      </w:r>
      <w:r>
        <w:rPr>
          <w:rFonts w:cs="Arial"/>
        </w:rPr>
        <w:t xml:space="preserve">a </w:t>
      </w:r>
      <w:r w:rsidRPr="00FD7D9A">
        <w:rPr>
          <w:rFonts w:cs="Arial"/>
        </w:rPr>
        <w:t>council’s ability to meet debt</w:t>
      </w:r>
      <w:r>
        <w:rPr>
          <w:rFonts w:cs="Arial"/>
        </w:rPr>
        <w:t xml:space="preserve"> payments</w:t>
      </w:r>
      <w:r w:rsidRPr="00FD7D9A">
        <w:rPr>
          <w:rFonts w:cs="Arial"/>
        </w:rPr>
        <w:t xml:space="preserve"> as they fall due.</w:t>
      </w:r>
    </w:p>
    <w:sectPr w:rsidR="003D5DCE" w:rsidRPr="00884A67" w:rsidSect="005A307A">
      <w:headerReference w:type="first" r:id="rId44"/>
      <w:footerReference w:type="first" r:id="rId45"/>
      <w:pgSz w:w="11906" w:h="16838"/>
      <w:pgMar w:top="2552" w:right="1440" w:bottom="1135" w:left="2268"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03" w:rsidRDefault="007F1403" w:rsidP="00023937">
      <w:pPr>
        <w:spacing w:before="0" w:after="0" w:line="240" w:lineRule="auto"/>
      </w:pPr>
      <w:r>
        <w:separator/>
      </w:r>
    </w:p>
    <w:p w:rsidR="007F1403" w:rsidRDefault="007F1403"/>
  </w:endnote>
  <w:endnote w:type="continuationSeparator" w:id="0">
    <w:p w:rsidR="007F1403" w:rsidRDefault="007F1403" w:rsidP="00023937">
      <w:pPr>
        <w:spacing w:before="0" w:after="0" w:line="240" w:lineRule="auto"/>
      </w:pPr>
      <w:r>
        <w:continuationSeparator/>
      </w:r>
    </w:p>
    <w:p w:rsidR="007F1403" w:rsidRDefault="007F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7F1403" w:rsidP="006710B6">
    <w:pPr>
      <w:pStyle w:val="Footer"/>
      <w:tabs>
        <w:tab w:val="clear" w:pos="4513"/>
        <w:tab w:val="clear" w:pos="9026"/>
        <w:tab w:val="center" w:pos="4099"/>
      </w:tabs>
    </w:pPr>
    <w:r>
      <w:t>Gwydir Shire Council</w:t>
    </w:r>
    <w:r>
      <w:tab/>
    </w:r>
    <w:r>
      <w:tab/>
      <w:t xml:space="preserve">                      </w:t>
    </w:r>
    <w:r>
      <w:tab/>
      <w:t xml:space="preserve">Page </w:t>
    </w:r>
    <w:r>
      <w:fldChar w:fldCharType="begin"/>
    </w:r>
    <w:r>
      <w:instrText xml:space="preserve"> PAGE   \* MERGEFORMAT </w:instrText>
    </w:r>
    <w:r>
      <w:fldChar w:fldCharType="separate"/>
    </w:r>
    <w:r w:rsidR="003539B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7F1403" w:rsidP="00DC5B4A">
    <w:pPr>
      <w:pStyle w:val="Footer"/>
      <w:tabs>
        <w:tab w:val="clear" w:pos="4513"/>
        <w:tab w:val="clear" w:pos="9026"/>
        <w:tab w:val="right" w:pos="8198"/>
      </w:tabs>
      <w:jc w:val="center"/>
    </w:pPr>
    <w:r>
      <w:t>COMMERCIAL-IN-CONFIDENCE</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7F1403" w:rsidP="00DC5B4A">
    <w:pPr>
      <w:pStyle w:val="Footer"/>
      <w:tabs>
        <w:tab w:val="clear" w:pos="4513"/>
        <w:tab w:val="clear" w:pos="9026"/>
        <w:tab w:val="right" w:pos="8198"/>
      </w:tabs>
      <w:jc w:val="center"/>
    </w:pPr>
    <w:r>
      <w:t>COMMERCIAL-IN-CONFIDENCE</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03" w:rsidRDefault="007F1403" w:rsidP="00023937">
      <w:pPr>
        <w:spacing w:before="0" w:after="0" w:line="240" w:lineRule="auto"/>
      </w:pPr>
      <w:r>
        <w:separator/>
      </w:r>
    </w:p>
    <w:p w:rsidR="007F1403" w:rsidRDefault="007F1403"/>
  </w:footnote>
  <w:footnote w:type="continuationSeparator" w:id="0">
    <w:p w:rsidR="007F1403" w:rsidRDefault="007F1403" w:rsidP="00023937">
      <w:pPr>
        <w:spacing w:before="0" w:after="0" w:line="240" w:lineRule="auto"/>
      </w:pPr>
      <w:r>
        <w:continuationSeparator/>
      </w:r>
    </w:p>
    <w:p w:rsidR="007F1403" w:rsidRDefault="007F1403"/>
  </w:footnote>
  <w:footnote w:id="1">
    <w:p w:rsidR="007F1403" w:rsidRPr="00147BCE" w:rsidRDefault="007F1403" w:rsidP="00884A67">
      <w:pPr>
        <w:pStyle w:val="FootnoteText"/>
        <w:rPr>
          <w:rFonts w:ascii="Arial Narrow" w:hAnsi="Arial Narrow" w:cs="Arial"/>
        </w:rPr>
      </w:pPr>
    </w:p>
  </w:footnote>
  <w:footnote w:id="2">
    <w:p w:rsidR="007F1403" w:rsidRPr="00B95AB0" w:rsidRDefault="007F1403" w:rsidP="00884A67">
      <w:pPr>
        <w:pStyle w:val="FootnoteText"/>
        <w:rPr>
          <w:rFonts w:ascii="Arial Narrow" w:hAnsi="Arial Narrow" w:cs="Arial"/>
          <w:sz w:val="16"/>
          <w:szCs w:val="16"/>
        </w:rPr>
      </w:pPr>
      <w:r w:rsidRPr="00B95AB0">
        <w:rPr>
          <w:rStyle w:val="FootnoteReference"/>
          <w:rFonts w:ascii="Arial Narrow" w:hAnsi="Arial Narrow" w:cs="Arial"/>
          <w:sz w:val="16"/>
          <w:szCs w:val="16"/>
        </w:rPr>
        <w:t>1</w:t>
      </w:r>
      <w:r w:rsidRPr="00B95AB0">
        <w:rPr>
          <w:rFonts w:ascii="Arial Narrow" w:hAnsi="Arial Narrow" w:cs="Arial"/>
          <w:sz w:val="16"/>
          <w:szCs w:val="16"/>
        </w:rPr>
        <w:t>IPART “Revenue Framework for Local Government” December 2009 p.83</w:t>
      </w:r>
    </w:p>
    <w:p w:rsidR="007F1403" w:rsidRDefault="007F1403" w:rsidP="00884A67">
      <w:r w:rsidRPr="00B95AB0">
        <w:rPr>
          <w:rStyle w:val="FootnoteReference"/>
          <w:rFonts w:cs="Arial"/>
          <w:color w:val="000000"/>
          <w:sz w:val="16"/>
          <w:szCs w:val="16"/>
        </w:rPr>
        <w:footnoteRef/>
      </w:r>
      <w:r w:rsidRPr="00B95AB0">
        <w:rPr>
          <w:rFonts w:cs="Arial"/>
          <w:color w:val="000000"/>
          <w:sz w:val="16"/>
          <w:szCs w:val="16"/>
        </w:rPr>
        <w:t xml:space="preserve"> DLG “</w:t>
      </w:r>
      <w:r w:rsidRPr="00B95AB0">
        <w:rPr>
          <w:rFonts w:cs="Arial"/>
          <w:sz w:val="16"/>
          <w:szCs w:val="16"/>
        </w:rPr>
        <w:t>Recognition of certain assets at fair value”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7F1403">
    <w:pPr>
      <w:pStyle w:val="Header"/>
    </w:pPr>
    <w:r>
      <w:rPr>
        <w:noProof/>
      </w:rPr>
      <w:drawing>
        <wp:anchor distT="0" distB="0" distL="114300" distR="114300" simplePos="0" relativeHeight="251658240" behindDoc="1" locked="0" layoutInCell="1" allowOverlap="1" wp14:anchorId="5DFD4140" wp14:editId="57BD2577">
          <wp:simplePos x="0" y="0"/>
          <wp:positionH relativeFrom="page">
            <wp:posOffset>0</wp:posOffset>
          </wp:positionH>
          <wp:positionV relativeFrom="page">
            <wp:posOffset>417830</wp:posOffset>
          </wp:positionV>
          <wp:extent cx="1797050" cy="1690370"/>
          <wp:effectExtent l="19050" t="0" r="0" b="0"/>
          <wp:wrapNone/>
          <wp:docPr id="18"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797050" cy="16903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3539B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2"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403">
      <w:rPr>
        <w:noProof/>
      </w:rPr>
      <w:drawing>
        <wp:anchor distT="0" distB="0" distL="114300" distR="114300" simplePos="0" relativeHeight="251659264" behindDoc="1" locked="0" layoutInCell="1" allowOverlap="1" wp14:anchorId="0E5331AE" wp14:editId="28A5A5D2">
          <wp:simplePos x="0" y="0"/>
          <wp:positionH relativeFrom="page">
            <wp:posOffset>154305</wp:posOffset>
          </wp:positionH>
          <wp:positionV relativeFrom="page">
            <wp:posOffset>566420</wp:posOffset>
          </wp:positionV>
          <wp:extent cx="1800860" cy="1691005"/>
          <wp:effectExtent l="19050" t="0" r="8890" b="0"/>
          <wp:wrapNone/>
          <wp:docPr id="17"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800860" cy="16910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03" w:rsidRDefault="003539B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left:0;text-align:left;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403">
      <w:rPr>
        <w:noProof/>
      </w:rPr>
      <w:drawing>
        <wp:anchor distT="0" distB="0" distL="114300" distR="114300" simplePos="0" relativeHeight="251656192" behindDoc="1" locked="0" layoutInCell="1" allowOverlap="1">
          <wp:simplePos x="0" y="0"/>
          <wp:positionH relativeFrom="page">
            <wp:posOffset>154305</wp:posOffset>
          </wp:positionH>
          <wp:positionV relativeFrom="page">
            <wp:posOffset>566420</wp:posOffset>
          </wp:positionV>
          <wp:extent cx="1800860" cy="1691005"/>
          <wp:effectExtent l="19050" t="0" r="8890" b="0"/>
          <wp:wrapNone/>
          <wp:docPr id="15" name="Picture 3" descr="NewTCorpLHf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CorpLHfol_logo"/>
                  <pic:cNvPicPr>
                    <a:picLocks noChangeAspect="1" noChangeArrowheads="1"/>
                  </pic:cNvPicPr>
                </pic:nvPicPr>
                <pic:blipFill>
                  <a:blip r:embed="rId1"/>
                  <a:srcRect/>
                  <a:stretch>
                    <a:fillRect/>
                  </a:stretch>
                </pic:blipFill>
                <pic:spPr bwMode="auto">
                  <a:xfrm>
                    <a:off x="0" y="0"/>
                    <a:ext cx="1800860" cy="16910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1A4A"/>
    <w:multiLevelType w:val="hybridMultilevel"/>
    <w:tmpl w:val="FAF63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CC7F5C"/>
    <w:multiLevelType w:val="hybridMultilevel"/>
    <w:tmpl w:val="9B20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394257"/>
    <w:multiLevelType w:val="hybridMultilevel"/>
    <w:tmpl w:val="852C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4E715B"/>
    <w:multiLevelType w:val="hybridMultilevel"/>
    <w:tmpl w:val="34AC2F86"/>
    <w:lvl w:ilvl="0" w:tplc="6FB4D9FC">
      <w:start w:val="1"/>
      <w:numFmt w:val="bullet"/>
      <w:pStyle w:val="Subtit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2403D8"/>
    <w:multiLevelType w:val="hybridMultilevel"/>
    <w:tmpl w:val="89C833FA"/>
    <w:lvl w:ilvl="0" w:tplc="632CED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6D1013C"/>
    <w:multiLevelType w:val="hybridMultilevel"/>
    <w:tmpl w:val="24369E5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9"/>
  <w:displayHorizontalDrawingGridEvery w:val="2"/>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5C"/>
    <w:rsid w:val="00002252"/>
    <w:rsid w:val="000042C6"/>
    <w:rsid w:val="000050BB"/>
    <w:rsid w:val="000100DA"/>
    <w:rsid w:val="00010F86"/>
    <w:rsid w:val="00012A28"/>
    <w:rsid w:val="000151A2"/>
    <w:rsid w:val="00020115"/>
    <w:rsid w:val="0002134F"/>
    <w:rsid w:val="00021962"/>
    <w:rsid w:val="00022A72"/>
    <w:rsid w:val="00023937"/>
    <w:rsid w:val="0002645B"/>
    <w:rsid w:val="000306B7"/>
    <w:rsid w:val="00030D8B"/>
    <w:rsid w:val="0003211F"/>
    <w:rsid w:val="000331EB"/>
    <w:rsid w:val="0003767A"/>
    <w:rsid w:val="00040C36"/>
    <w:rsid w:val="00041E43"/>
    <w:rsid w:val="00042EA4"/>
    <w:rsid w:val="00043D7F"/>
    <w:rsid w:val="00043F60"/>
    <w:rsid w:val="00043F63"/>
    <w:rsid w:val="00045191"/>
    <w:rsid w:val="000507DE"/>
    <w:rsid w:val="00050917"/>
    <w:rsid w:val="00052A63"/>
    <w:rsid w:val="00054E98"/>
    <w:rsid w:val="00055DD9"/>
    <w:rsid w:val="000633B2"/>
    <w:rsid w:val="00063D51"/>
    <w:rsid w:val="000715F1"/>
    <w:rsid w:val="000721C7"/>
    <w:rsid w:val="00072B7D"/>
    <w:rsid w:val="00081D5E"/>
    <w:rsid w:val="00081F4D"/>
    <w:rsid w:val="0008256C"/>
    <w:rsid w:val="000844B8"/>
    <w:rsid w:val="00087794"/>
    <w:rsid w:val="00087EA8"/>
    <w:rsid w:val="00090AE4"/>
    <w:rsid w:val="00091A2B"/>
    <w:rsid w:val="0009424F"/>
    <w:rsid w:val="000961AF"/>
    <w:rsid w:val="00096233"/>
    <w:rsid w:val="00097274"/>
    <w:rsid w:val="000A2081"/>
    <w:rsid w:val="000A6D9F"/>
    <w:rsid w:val="000A7B79"/>
    <w:rsid w:val="000B264A"/>
    <w:rsid w:val="000B4AA2"/>
    <w:rsid w:val="000B617D"/>
    <w:rsid w:val="000B6FF2"/>
    <w:rsid w:val="000C572D"/>
    <w:rsid w:val="000D0FA5"/>
    <w:rsid w:val="000D34C9"/>
    <w:rsid w:val="000D41B6"/>
    <w:rsid w:val="000E0519"/>
    <w:rsid w:val="000E0CC6"/>
    <w:rsid w:val="000E1AF1"/>
    <w:rsid w:val="000E29C1"/>
    <w:rsid w:val="000F3A51"/>
    <w:rsid w:val="000F60AA"/>
    <w:rsid w:val="000F6815"/>
    <w:rsid w:val="00102A2C"/>
    <w:rsid w:val="001031D0"/>
    <w:rsid w:val="001032B9"/>
    <w:rsid w:val="00110005"/>
    <w:rsid w:val="00110CB4"/>
    <w:rsid w:val="00110CEA"/>
    <w:rsid w:val="00111846"/>
    <w:rsid w:val="0011425F"/>
    <w:rsid w:val="00115EAD"/>
    <w:rsid w:val="001168EC"/>
    <w:rsid w:val="00117359"/>
    <w:rsid w:val="001208C3"/>
    <w:rsid w:val="00121845"/>
    <w:rsid w:val="001219D8"/>
    <w:rsid w:val="0012356B"/>
    <w:rsid w:val="001279E7"/>
    <w:rsid w:val="0013329D"/>
    <w:rsid w:val="001338E5"/>
    <w:rsid w:val="00135DD8"/>
    <w:rsid w:val="00136900"/>
    <w:rsid w:val="001423BA"/>
    <w:rsid w:val="001443F5"/>
    <w:rsid w:val="00145097"/>
    <w:rsid w:val="0014609C"/>
    <w:rsid w:val="001476B8"/>
    <w:rsid w:val="00150FA5"/>
    <w:rsid w:val="00153F0C"/>
    <w:rsid w:val="0015426B"/>
    <w:rsid w:val="001545D5"/>
    <w:rsid w:val="00154AFD"/>
    <w:rsid w:val="00156809"/>
    <w:rsid w:val="0016059D"/>
    <w:rsid w:val="001612E7"/>
    <w:rsid w:val="00165ADF"/>
    <w:rsid w:val="00170DA2"/>
    <w:rsid w:val="00171D54"/>
    <w:rsid w:val="00171E34"/>
    <w:rsid w:val="001724DE"/>
    <w:rsid w:val="00172C05"/>
    <w:rsid w:val="0017303D"/>
    <w:rsid w:val="00177CF8"/>
    <w:rsid w:val="0018106F"/>
    <w:rsid w:val="001840AC"/>
    <w:rsid w:val="0018477B"/>
    <w:rsid w:val="0018688C"/>
    <w:rsid w:val="001872CC"/>
    <w:rsid w:val="00187A42"/>
    <w:rsid w:val="00187FD4"/>
    <w:rsid w:val="00191773"/>
    <w:rsid w:val="00192099"/>
    <w:rsid w:val="001938C2"/>
    <w:rsid w:val="0019676C"/>
    <w:rsid w:val="00196848"/>
    <w:rsid w:val="001A0F4D"/>
    <w:rsid w:val="001A2B7D"/>
    <w:rsid w:val="001A30A2"/>
    <w:rsid w:val="001A36DC"/>
    <w:rsid w:val="001A4F07"/>
    <w:rsid w:val="001A51AE"/>
    <w:rsid w:val="001A6605"/>
    <w:rsid w:val="001A72DC"/>
    <w:rsid w:val="001B187F"/>
    <w:rsid w:val="001B19A1"/>
    <w:rsid w:val="001B5D09"/>
    <w:rsid w:val="001C1056"/>
    <w:rsid w:val="001C3ACC"/>
    <w:rsid w:val="001D302F"/>
    <w:rsid w:val="001D3ABE"/>
    <w:rsid w:val="001D5DD9"/>
    <w:rsid w:val="001D77C8"/>
    <w:rsid w:val="001D7C84"/>
    <w:rsid w:val="001E208D"/>
    <w:rsid w:val="001E4B5D"/>
    <w:rsid w:val="001E7A36"/>
    <w:rsid w:val="001F1B5F"/>
    <w:rsid w:val="001F21A7"/>
    <w:rsid w:val="001F4D3A"/>
    <w:rsid w:val="001F50AA"/>
    <w:rsid w:val="001F6814"/>
    <w:rsid w:val="0020038B"/>
    <w:rsid w:val="00201B46"/>
    <w:rsid w:val="00202BDB"/>
    <w:rsid w:val="00203755"/>
    <w:rsid w:val="00210228"/>
    <w:rsid w:val="0021024C"/>
    <w:rsid w:val="00212B00"/>
    <w:rsid w:val="00213402"/>
    <w:rsid w:val="0021353E"/>
    <w:rsid w:val="00213778"/>
    <w:rsid w:val="002152F8"/>
    <w:rsid w:val="00217584"/>
    <w:rsid w:val="00220704"/>
    <w:rsid w:val="00222239"/>
    <w:rsid w:val="00224671"/>
    <w:rsid w:val="00224928"/>
    <w:rsid w:val="00225A32"/>
    <w:rsid w:val="002277A0"/>
    <w:rsid w:val="00227D93"/>
    <w:rsid w:val="00231B56"/>
    <w:rsid w:val="00231E99"/>
    <w:rsid w:val="00235568"/>
    <w:rsid w:val="002358BC"/>
    <w:rsid w:val="0024250C"/>
    <w:rsid w:val="00242FB4"/>
    <w:rsid w:val="00246D81"/>
    <w:rsid w:val="00246F46"/>
    <w:rsid w:val="002476DD"/>
    <w:rsid w:val="00247B1D"/>
    <w:rsid w:val="00253983"/>
    <w:rsid w:val="00255D02"/>
    <w:rsid w:val="00264BB8"/>
    <w:rsid w:val="00266F49"/>
    <w:rsid w:val="00266FA0"/>
    <w:rsid w:val="002728B2"/>
    <w:rsid w:val="00276BDD"/>
    <w:rsid w:val="002800CE"/>
    <w:rsid w:val="0028053B"/>
    <w:rsid w:val="00282140"/>
    <w:rsid w:val="002821DB"/>
    <w:rsid w:val="00282216"/>
    <w:rsid w:val="0028502C"/>
    <w:rsid w:val="00285A74"/>
    <w:rsid w:val="002862A9"/>
    <w:rsid w:val="0028745C"/>
    <w:rsid w:val="0029188F"/>
    <w:rsid w:val="0029427F"/>
    <w:rsid w:val="002954FE"/>
    <w:rsid w:val="002A0D50"/>
    <w:rsid w:val="002A29D9"/>
    <w:rsid w:val="002A3AE2"/>
    <w:rsid w:val="002A3E6C"/>
    <w:rsid w:val="002A506F"/>
    <w:rsid w:val="002B06A5"/>
    <w:rsid w:val="002B0A7F"/>
    <w:rsid w:val="002B7026"/>
    <w:rsid w:val="002C0136"/>
    <w:rsid w:val="002C0441"/>
    <w:rsid w:val="002C09C0"/>
    <w:rsid w:val="002C30CB"/>
    <w:rsid w:val="002C37F9"/>
    <w:rsid w:val="002C7549"/>
    <w:rsid w:val="002D0C70"/>
    <w:rsid w:val="002D1F00"/>
    <w:rsid w:val="002D2480"/>
    <w:rsid w:val="002E0107"/>
    <w:rsid w:val="002E0BC5"/>
    <w:rsid w:val="002E0C09"/>
    <w:rsid w:val="002E0DAA"/>
    <w:rsid w:val="002E1CAF"/>
    <w:rsid w:val="002E35BD"/>
    <w:rsid w:val="002E39CD"/>
    <w:rsid w:val="002E3A82"/>
    <w:rsid w:val="002E4696"/>
    <w:rsid w:val="002E7456"/>
    <w:rsid w:val="002F1308"/>
    <w:rsid w:val="002F15A7"/>
    <w:rsid w:val="002F25B6"/>
    <w:rsid w:val="002F65DD"/>
    <w:rsid w:val="002F66DB"/>
    <w:rsid w:val="00301372"/>
    <w:rsid w:val="0030271D"/>
    <w:rsid w:val="00302E1F"/>
    <w:rsid w:val="0030479A"/>
    <w:rsid w:val="003055DA"/>
    <w:rsid w:val="00305E7D"/>
    <w:rsid w:val="00306341"/>
    <w:rsid w:val="00307CC2"/>
    <w:rsid w:val="003103EF"/>
    <w:rsid w:val="00311DB8"/>
    <w:rsid w:val="00313F30"/>
    <w:rsid w:val="003157B5"/>
    <w:rsid w:val="00316FB2"/>
    <w:rsid w:val="00317DE2"/>
    <w:rsid w:val="00320A61"/>
    <w:rsid w:val="00321772"/>
    <w:rsid w:val="00326363"/>
    <w:rsid w:val="00327809"/>
    <w:rsid w:val="00327F2C"/>
    <w:rsid w:val="00330530"/>
    <w:rsid w:val="00332495"/>
    <w:rsid w:val="003334DF"/>
    <w:rsid w:val="0033436A"/>
    <w:rsid w:val="00334927"/>
    <w:rsid w:val="00334B1B"/>
    <w:rsid w:val="00336CBA"/>
    <w:rsid w:val="003379F9"/>
    <w:rsid w:val="00340DB1"/>
    <w:rsid w:val="00341D44"/>
    <w:rsid w:val="00341D45"/>
    <w:rsid w:val="003451C8"/>
    <w:rsid w:val="0034546F"/>
    <w:rsid w:val="00345F9D"/>
    <w:rsid w:val="00351C8B"/>
    <w:rsid w:val="003539B0"/>
    <w:rsid w:val="003542B5"/>
    <w:rsid w:val="00355955"/>
    <w:rsid w:val="00361075"/>
    <w:rsid w:val="003614DD"/>
    <w:rsid w:val="003627F4"/>
    <w:rsid w:val="00364AF6"/>
    <w:rsid w:val="00366406"/>
    <w:rsid w:val="00367BDB"/>
    <w:rsid w:val="00370E38"/>
    <w:rsid w:val="00371E8F"/>
    <w:rsid w:val="0037464F"/>
    <w:rsid w:val="00374A23"/>
    <w:rsid w:val="003772F2"/>
    <w:rsid w:val="00381579"/>
    <w:rsid w:val="003856D4"/>
    <w:rsid w:val="00386A93"/>
    <w:rsid w:val="00386F83"/>
    <w:rsid w:val="003871B8"/>
    <w:rsid w:val="00387952"/>
    <w:rsid w:val="0039089C"/>
    <w:rsid w:val="00390C10"/>
    <w:rsid w:val="00391D72"/>
    <w:rsid w:val="00394A60"/>
    <w:rsid w:val="00396316"/>
    <w:rsid w:val="003963C3"/>
    <w:rsid w:val="003B0A4B"/>
    <w:rsid w:val="003B0C06"/>
    <w:rsid w:val="003B1966"/>
    <w:rsid w:val="003B235A"/>
    <w:rsid w:val="003B6962"/>
    <w:rsid w:val="003C083B"/>
    <w:rsid w:val="003C2E04"/>
    <w:rsid w:val="003C328D"/>
    <w:rsid w:val="003C4335"/>
    <w:rsid w:val="003C4520"/>
    <w:rsid w:val="003C50A5"/>
    <w:rsid w:val="003D0B3D"/>
    <w:rsid w:val="003D585C"/>
    <w:rsid w:val="003D5DCE"/>
    <w:rsid w:val="003D7D92"/>
    <w:rsid w:val="003D7E8E"/>
    <w:rsid w:val="003E154F"/>
    <w:rsid w:val="003E2AD7"/>
    <w:rsid w:val="003E3D28"/>
    <w:rsid w:val="003E584E"/>
    <w:rsid w:val="003E715A"/>
    <w:rsid w:val="003E78A8"/>
    <w:rsid w:val="003F0D24"/>
    <w:rsid w:val="003F20A9"/>
    <w:rsid w:val="003F22F9"/>
    <w:rsid w:val="003F466D"/>
    <w:rsid w:val="003F491B"/>
    <w:rsid w:val="003F4A46"/>
    <w:rsid w:val="003F5C51"/>
    <w:rsid w:val="003F799C"/>
    <w:rsid w:val="003F7BA1"/>
    <w:rsid w:val="00400C37"/>
    <w:rsid w:val="0040146B"/>
    <w:rsid w:val="00401EBB"/>
    <w:rsid w:val="00404D0A"/>
    <w:rsid w:val="00405200"/>
    <w:rsid w:val="004065CB"/>
    <w:rsid w:val="00410D44"/>
    <w:rsid w:val="0041392E"/>
    <w:rsid w:val="00414253"/>
    <w:rsid w:val="00414E96"/>
    <w:rsid w:val="00415615"/>
    <w:rsid w:val="004209C4"/>
    <w:rsid w:val="004210D8"/>
    <w:rsid w:val="004227AE"/>
    <w:rsid w:val="00423A04"/>
    <w:rsid w:val="00424A2E"/>
    <w:rsid w:val="00427B05"/>
    <w:rsid w:val="004307FC"/>
    <w:rsid w:val="00430C80"/>
    <w:rsid w:val="0043173A"/>
    <w:rsid w:val="00431885"/>
    <w:rsid w:val="00432189"/>
    <w:rsid w:val="00432C41"/>
    <w:rsid w:val="00433BF6"/>
    <w:rsid w:val="004402CC"/>
    <w:rsid w:val="00444EB8"/>
    <w:rsid w:val="004459A5"/>
    <w:rsid w:val="00445F4D"/>
    <w:rsid w:val="004471CC"/>
    <w:rsid w:val="004472FB"/>
    <w:rsid w:val="00452AE2"/>
    <w:rsid w:val="004543DE"/>
    <w:rsid w:val="004547ED"/>
    <w:rsid w:val="00460934"/>
    <w:rsid w:val="00461FC6"/>
    <w:rsid w:val="0046215C"/>
    <w:rsid w:val="00464BF2"/>
    <w:rsid w:val="00464D0F"/>
    <w:rsid w:val="00466E89"/>
    <w:rsid w:val="00470894"/>
    <w:rsid w:val="00476CEB"/>
    <w:rsid w:val="00477C7A"/>
    <w:rsid w:val="0048378F"/>
    <w:rsid w:val="00483AF6"/>
    <w:rsid w:val="00485760"/>
    <w:rsid w:val="00486FD4"/>
    <w:rsid w:val="00490328"/>
    <w:rsid w:val="00490569"/>
    <w:rsid w:val="00491FE3"/>
    <w:rsid w:val="00492B6C"/>
    <w:rsid w:val="00494637"/>
    <w:rsid w:val="0049653D"/>
    <w:rsid w:val="00496940"/>
    <w:rsid w:val="004973FB"/>
    <w:rsid w:val="004A5227"/>
    <w:rsid w:val="004B0C2A"/>
    <w:rsid w:val="004B59D6"/>
    <w:rsid w:val="004C2D84"/>
    <w:rsid w:val="004D2C02"/>
    <w:rsid w:val="004D3BA2"/>
    <w:rsid w:val="004D44B4"/>
    <w:rsid w:val="004E0C4B"/>
    <w:rsid w:val="004E1676"/>
    <w:rsid w:val="004E24A0"/>
    <w:rsid w:val="004E6050"/>
    <w:rsid w:val="004E721C"/>
    <w:rsid w:val="004F1EB7"/>
    <w:rsid w:val="00501AAE"/>
    <w:rsid w:val="00501C3E"/>
    <w:rsid w:val="00502A0F"/>
    <w:rsid w:val="0050530A"/>
    <w:rsid w:val="0050582C"/>
    <w:rsid w:val="00505C59"/>
    <w:rsid w:val="00506797"/>
    <w:rsid w:val="00507542"/>
    <w:rsid w:val="00510155"/>
    <w:rsid w:val="0051374D"/>
    <w:rsid w:val="00516E5C"/>
    <w:rsid w:val="005171B7"/>
    <w:rsid w:val="005203CC"/>
    <w:rsid w:val="00522A44"/>
    <w:rsid w:val="00523062"/>
    <w:rsid w:val="00523CDF"/>
    <w:rsid w:val="005240FF"/>
    <w:rsid w:val="005269D3"/>
    <w:rsid w:val="00531F72"/>
    <w:rsid w:val="00533C60"/>
    <w:rsid w:val="00534C3A"/>
    <w:rsid w:val="00535F42"/>
    <w:rsid w:val="005361C9"/>
    <w:rsid w:val="0054142E"/>
    <w:rsid w:val="0054146E"/>
    <w:rsid w:val="00541734"/>
    <w:rsid w:val="00542BA2"/>
    <w:rsid w:val="0054388E"/>
    <w:rsid w:val="005525EF"/>
    <w:rsid w:val="0055448E"/>
    <w:rsid w:val="005565B4"/>
    <w:rsid w:val="00557243"/>
    <w:rsid w:val="00560A0F"/>
    <w:rsid w:val="005659C1"/>
    <w:rsid w:val="005672E3"/>
    <w:rsid w:val="0057188A"/>
    <w:rsid w:val="00571A4B"/>
    <w:rsid w:val="005722DA"/>
    <w:rsid w:val="005727DA"/>
    <w:rsid w:val="00573E18"/>
    <w:rsid w:val="005837EE"/>
    <w:rsid w:val="00587F85"/>
    <w:rsid w:val="005930F6"/>
    <w:rsid w:val="0059612D"/>
    <w:rsid w:val="00596390"/>
    <w:rsid w:val="005A12B1"/>
    <w:rsid w:val="005A1368"/>
    <w:rsid w:val="005A22AA"/>
    <w:rsid w:val="005A307A"/>
    <w:rsid w:val="005A5B62"/>
    <w:rsid w:val="005A61B8"/>
    <w:rsid w:val="005B2871"/>
    <w:rsid w:val="005B483B"/>
    <w:rsid w:val="005C2704"/>
    <w:rsid w:val="005C331B"/>
    <w:rsid w:val="005D265B"/>
    <w:rsid w:val="005D3EA3"/>
    <w:rsid w:val="005D5129"/>
    <w:rsid w:val="005D5E55"/>
    <w:rsid w:val="005D5F6F"/>
    <w:rsid w:val="005E1DA6"/>
    <w:rsid w:val="005E2FE8"/>
    <w:rsid w:val="005E4771"/>
    <w:rsid w:val="005E576C"/>
    <w:rsid w:val="005F717E"/>
    <w:rsid w:val="005F72B4"/>
    <w:rsid w:val="00601188"/>
    <w:rsid w:val="00602E96"/>
    <w:rsid w:val="00604D71"/>
    <w:rsid w:val="00610841"/>
    <w:rsid w:val="00612697"/>
    <w:rsid w:val="006146FE"/>
    <w:rsid w:val="00614E79"/>
    <w:rsid w:val="00620B19"/>
    <w:rsid w:val="00624570"/>
    <w:rsid w:val="00630865"/>
    <w:rsid w:val="00631F36"/>
    <w:rsid w:val="006356BC"/>
    <w:rsid w:val="006373EF"/>
    <w:rsid w:val="006449CE"/>
    <w:rsid w:val="00647A56"/>
    <w:rsid w:val="0065156E"/>
    <w:rsid w:val="00653C58"/>
    <w:rsid w:val="0065427E"/>
    <w:rsid w:val="0065621E"/>
    <w:rsid w:val="00656BCD"/>
    <w:rsid w:val="006570DF"/>
    <w:rsid w:val="00661024"/>
    <w:rsid w:val="00661E72"/>
    <w:rsid w:val="006651F6"/>
    <w:rsid w:val="00667A47"/>
    <w:rsid w:val="006701FF"/>
    <w:rsid w:val="00670FE5"/>
    <w:rsid w:val="006710B6"/>
    <w:rsid w:val="006723E9"/>
    <w:rsid w:val="0068119B"/>
    <w:rsid w:val="0068747D"/>
    <w:rsid w:val="00690E67"/>
    <w:rsid w:val="00692631"/>
    <w:rsid w:val="00692D56"/>
    <w:rsid w:val="00696566"/>
    <w:rsid w:val="006A0C35"/>
    <w:rsid w:val="006A6585"/>
    <w:rsid w:val="006A6808"/>
    <w:rsid w:val="006B1F56"/>
    <w:rsid w:val="006B59E9"/>
    <w:rsid w:val="006C16A0"/>
    <w:rsid w:val="006C35D1"/>
    <w:rsid w:val="006C5CD3"/>
    <w:rsid w:val="006C617F"/>
    <w:rsid w:val="006C66E0"/>
    <w:rsid w:val="006D606E"/>
    <w:rsid w:val="006D71B3"/>
    <w:rsid w:val="006D7C11"/>
    <w:rsid w:val="006E240E"/>
    <w:rsid w:val="006E3BC9"/>
    <w:rsid w:val="006E4540"/>
    <w:rsid w:val="006E7B1B"/>
    <w:rsid w:val="006F0828"/>
    <w:rsid w:val="006F236F"/>
    <w:rsid w:val="006F5FEC"/>
    <w:rsid w:val="006F628F"/>
    <w:rsid w:val="006F6DFA"/>
    <w:rsid w:val="006F7A68"/>
    <w:rsid w:val="00700D06"/>
    <w:rsid w:val="00701D01"/>
    <w:rsid w:val="00702FD3"/>
    <w:rsid w:val="00703145"/>
    <w:rsid w:val="00703B04"/>
    <w:rsid w:val="007045BA"/>
    <w:rsid w:val="00706BFE"/>
    <w:rsid w:val="00714E15"/>
    <w:rsid w:val="00720352"/>
    <w:rsid w:val="007230D8"/>
    <w:rsid w:val="00725D57"/>
    <w:rsid w:val="00726136"/>
    <w:rsid w:val="0072617B"/>
    <w:rsid w:val="0072640E"/>
    <w:rsid w:val="007311AE"/>
    <w:rsid w:val="00732033"/>
    <w:rsid w:val="007325B1"/>
    <w:rsid w:val="00733525"/>
    <w:rsid w:val="00733D10"/>
    <w:rsid w:val="0073508E"/>
    <w:rsid w:val="00736C9D"/>
    <w:rsid w:val="00744956"/>
    <w:rsid w:val="00746F5B"/>
    <w:rsid w:val="0075047F"/>
    <w:rsid w:val="007511AF"/>
    <w:rsid w:val="0075231F"/>
    <w:rsid w:val="007534CF"/>
    <w:rsid w:val="00753FCD"/>
    <w:rsid w:val="007602D4"/>
    <w:rsid w:val="00760957"/>
    <w:rsid w:val="00760F10"/>
    <w:rsid w:val="00763B9E"/>
    <w:rsid w:val="00764BB6"/>
    <w:rsid w:val="007654DB"/>
    <w:rsid w:val="00766E1D"/>
    <w:rsid w:val="0076756C"/>
    <w:rsid w:val="00767EB6"/>
    <w:rsid w:val="0077378B"/>
    <w:rsid w:val="00773AE1"/>
    <w:rsid w:val="00773C83"/>
    <w:rsid w:val="0077441E"/>
    <w:rsid w:val="007744B6"/>
    <w:rsid w:val="00775247"/>
    <w:rsid w:val="007754E6"/>
    <w:rsid w:val="007772B9"/>
    <w:rsid w:val="0078077A"/>
    <w:rsid w:val="00781892"/>
    <w:rsid w:val="00782018"/>
    <w:rsid w:val="0078696A"/>
    <w:rsid w:val="00791C26"/>
    <w:rsid w:val="007A6EE6"/>
    <w:rsid w:val="007A793D"/>
    <w:rsid w:val="007B40CE"/>
    <w:rsid w:val="007C06F3"/>
    <w:rsid w:val="007C1E83"/>
    <w:rsid w:val="007C2451"/>
    <w:rsid w:val="007C2CD7"/>
    <w:rsid w:val="007C59A5"/>
    <w:rsid w:val="007C722F"/>
    <w:rsid w:val="007D1466"/>
    <w:rsid w:val="007D1595"/>
    <w:rsid w:val="007D5FFF"/>
    <w:rsid w:val="007E58AD"/>
    <w:rsid w:val="007E62F9"/>
    <w:rsid w:val="007F08B4"/>
    <w:rsid w:val="007F1403"/>
    <w:rsid w:val="007F1FC4"/>
    <w:rsid w:val="007F466F"/>
    <w:rsid w:val="008027C9"/>
    <w:rsid w:val="0080509C"/>
    <w:rsid w:val="00807229"/>
    <w:rsid w:val="0081030A"/>
    <w:rsid w:val="00813D6F"/>
    <w:rsid w:val="00813DFC"/>
    <w:rsid w:val="00813E26"/>
    <w:rsid w:val="00816D38"/>
    <w:rsid w:val="00820175"/>
    <w:rsid w:val="00821C83"/>
    <w:rsid w:val="00822002"/>
    <w:rsid w:val="00822773"/>
    <w:rsid w:val="00823903"/>
    <w:rsid w:val="008239F7"/>
    <w:rsid w:val="00825E52"/>
    <w:rsid w:val="00827437"/>
    <w:rsid w:val="008312E6"/>
    <w:rsid w:val="00831FDD"/>
    <w:rsid w:val="008348E8"/>
    <w:rsid w:val="008366AB"/>
    <w:rsid w:val="008367C2"/>
    <w:rsid w:val="00836B7D"/>
    <w:rsid w:val="00837D75"/>
    <w:rsid w:val="0084166F"/>
    <w:rsid w:val="00844336"/>
    <w:rsid w:val="00850305"/>
    <w:rsid w:val="00850E42"/>
    <w:rsid w:val="00851B90"/>
    <w:rsid w:val="00852B1B"/>
    <w:rsid w:val="00854259"/>
    <w:rsid w:val="00854935"/>
    <w:rsid w:val="00860297"/>
    <w:rsid w:val="00861312"/>
    <w:rsid w:val="00861428"/>
    <w:rsid w:val="00861A87"/>
    <w:rsid w:val="008677BA"/>
    <w:rsid w:val="00871CED"/>
    <w:rsid w:val="00875BC9"/>
    <w:rsid w:val="00881CE3"/>
    <w:rsid w:val="00884A67"/>
    <w:rsid w:val="0088590D"/>
    <w:rsid w:val="008859EE"/>
    <w:rsid w:val="008861B9"/>
    <w:rsid w:val="0088621B"/>
    <w:rsid w:val="00890CBE"/>
    <w:rsid w:val="00891363"/>
    <w:rsid w:val="00891C2F"/>
    <w:rsid w:val="00893E42"/>
    <w:rsid w:val="00894958"/>
    <w:rsid w:val="00897B39"/>
    <w:rsid w:val="008A0016"/>
    <w:rsid w:val="008A02CC"/>
    <w:rsid w:val="008A0EB9"/>
    <w:rsid w:val="008A67FB"/>
    <w:rsid w:val="008A6A4D"/>
    <w:rsid w:val="008A6A76"/>
    <w:rsid w:val="008B1610"/>
    <w:rsid w:val="008B1716"/>
    <w:rsid w:val="008B2E5C"/>
    <w:rsid w:val="008B63B8"/>
    <w:rsid w:val="008C029A"/>
    <w:rsid w:val="008C4265"/>
    <w:rsid w:val="008C4ED8"/>
    <w:rsid w:val="008C59B6"/>
    <w:rsid w:val="008C5E94"/>
    <w:rsid w:val="008C614C"/>
    <w:rsid w:val="008C6A86"/>
    <w:rsid w:val="008D1594"/>
    <w:rsid w:val="008D27FB"/>
    <w:rsid w:val="008D3A9C"/>
    <w:rsid w:val="008D41FC"/>
    <w:rsid w:val="008D4BA9"/>
    <w:rsid w:val="008E1157"/>
    <w:rsid w:val="008E14FD"/>
    <w:rsid w:val="008E555A"/>
    <w:rsid w:val="008E5732"/>
    <w:rsid w:val="008E5760"/>
    <w:rsid w:val="008E7781"/>
    <w:rsid w:val="008F0EB1"/>
    <w:rsid w:val="008F3C01"/>
    <w:rsid w:val="008F3E12"/>
    <w:rsid w:val="009049E8"/>
    <w:rsid w:val="00911488"/>
    <w:rsid w:val="0091663E"/>
    <w:rsid w:val="00916F20"/>
    <w:rsid w:val="00917539"/>
    <w:rsid w:val="009177DD"/>
    <w:rsid w:val="00921494"/>
    <w:rsid w:val="00922B8E"/>
    <w:rsid w:val="009237DF"/>
    <w:rsid w:val="009278CC"/>
    <w:rsid w:val="009314D9"/>
    <w:rsid w:val="00932959"/>
    <w:rsid w:val="0094005E"/>
    <w:rsid w:val="00940DEC"/>
    <w:rsid w:val="0094434F"/>
    <w:rsid w:val="00945092"/>
    <w:rsid w:val="00945427"/>
    <w:rsid w:val="00946D06"/>
    <w:rsid w:val="009477FE"/>
    <w:rsid w:val="00950779"/>
    <w:rsid w:val="00950A71"/>
    <w:rsid w:val="00951F08"/>
    <w:rsid w:val="0095521D"/>
    <w:rsid w:val="00957837"/>
    <w:rsid w:val="0096383D"/>
    <w:rsid w:val="0096575C"/>
    <w:rsid w:val="00966D11"/>
    <w:rsid w:val="0097053C"/>
    <w:rsid w:val="0097069C"/>
    <w:rsid w:val="00970C69"/>
    <w:rsid w:val="00971034"/>
    <w:rsid w:val="00972E1C"/>
    <w:rsid w:val="00975E2B"/>
    <w:rsid w:val="00976761"/>
    <w:rsid w:val="0097711D"/>
    <w:rsid w:val="00977E97"/>
    <w:rsid w:val="00980187"/>
    <w:rsid w:val="009808C4"/>
    <w:rsid w:val="00980AF9"/>
    <w:rsid w:val="00981189"/>
    <w:rsid w:val="00981854"/>
    <w:rsid w:val="009855FA"/>
    <w:rsid w:val="0098641A"/>
    <w:rsid w:val="00986AA9"/>
    <w:rsid w:val="00986C4D"/>
    <w:rsid w:val="00992736"/>
    <w:rsid w:val="00995B92"/>
    <w:rsid w:val="00996DD4"/>
    <w:rsid w:val="009A06AA"/>
    <w:rsid w:val="009A107B"/>
    <w:rsid w:val="009A3DAD"/>
    <w:rsid w:val="009A6576"/>
    <w:rsid w:val="009A7284"/>
    <w:rsid w:val="009B5C58"/>
    <w:rsid w:val="009B7DA3"/>
    <w:rsid w:val="009C0016"/>
    <w:rsid w:val="009C0787"/>
    <w:rsid w:val="009C1DD1"/>
    <w:rsid w:val="009C2990"/>
    <w:rsid w:val="009C6CA2"/>
    <w:rsid w:val="009C78DE"/>
    <w:rsid w:val="009E1B6E"/>
    <w:rsid w:val="009E3C87"/>
    <w:rsid w:val="009E4203"/>
    <w:rsid w:val="009E4F88"/>
    <w:rsid w:val="009F2144"/>
    <w:rsid w:val="009F41AA"/>
    <w:rsid w:val="009F4B44"/>
    <w:rsid w:val="00A05262"/>
    <w:rsid w:val="00A0658F"/>
    <w:rsid w:val="00A10391"/>
    <w:rsid w:val="00A119BE"/>
    <w:rsid w:val="00A14538"/>
    <w:rsid w:val="00A173B0"/>
    <w:rsid w:val="00A17C51"/>
    <w:rsid w:val="00A2030A"/>
    <w:rsid w:val="00A21438"/>
    <w:rsid w:val="00A22D7D"/>
    <w:rsid w:val="00A23542"/>
    <w:rsid w:val="00A2401B"/>
    <w:rsid w:val="00A2559F"/>
    <w:rsid w:val="00A257AC"/>
    <w:rsid w:val="00A2752D"/>
    <w:rsid w:val="00A27CE9"/>
    <w:rsid w:val="00A30820"/>
    <w:rsid w:val="00A31A91"/>
    <w:rsid w:val="00A32E65"/>
    <w:rsid w:val="00A33B18"/>
    <w:rsid w:val="00A3562D"/>
    <w:rsid w:val="00A379C5"/>
    <w:rsid w:val="00A41273"/>
    <w:rsid w:val="00A42799"/>
    <w:rsid w:val="00A4299F"/>
    <w:rsid w:val="00A42A0D"/>
    <w:rsid w:val="00A42F8B"/>
    <w:rsid w:val="00A443EC"/>
    <w:rsid w:val="00A45BF8"/>
    <w:rsid w:val="00A46F34"/>
    <w:rsid w:val="00A47DC0"/>
    <w:rsid w:val="00A47F71"/>
    <w:rsid w:val="00A506D3"/>
    <w:rsid w:val="00A52D2E"/>
    <w:rsid w:val="00A556D7"/>
    <w:rsid w:val="00A56AA2"/>
    <w:rsid w:val="00A646D5"/>
    <w:rsid w:val="00A65CA9"/>
    <w:rsid w:val="00A65CB4"/>
    <w:rsid w:val="00A70FA5"/>
    <w:rsid w:val="00A7208A"/>
    <w:rsid w:val="00A74EFF"/>
    <w:rsid w:val="00A75111"/>
    <w:rsid w:val="00A75360"/>
    <w:rsid w:val="00A84C82"/>
    <w:rsid w:val="00A90D08"/>
    <w:rsid w:val="00A91A34"/>
    <w:rsid w:val="00A9547C"/>
    <w:rsid w:val="00A976F4"/>
    <w:rsid w:val="00AA75C1"/>
    <w:rsid w:val="00AB05AA"/>
    <w:rsid w:val="00AB09EB"/>
    <w:rsid w:val="00AB32E6"/>
    <w:rsid w:val="00AB3477"/>
    <w:rsid w:val="00AB5157"/>
    <w:rsid w:val="00AC2F76"/>
    <w:rsid w:val="00AC4EBE"/>
    <w:rsid w:val="00AC585A"/>
    <w:rsid w:val="00AC5D68"/>
    <w:rsid w:val="00AD0832"/>
    <w:rsid w:val="00AD3268"/>
    <w:rsid w:val="00AD3E22"/>
    <w:rsid w:val="00AD54A7"/>
    <w:rsid w:val="00AD55A2"/>
    <w:rsid w:val="00AD6F21"/>
    <w:rsid w:val="00AE0472"/>
    <w:rsid w:val="00AE547D"/>
    <w:rsid w:val="00AE5FD4"/>
    <w:rsid w:val="00AE75B6"/>
    <w:rsid w:val="00AF2175"/>
    <w:rsid w:val="00AF254F"/>
    <w:rsid w:val="00B02620"/>
    <w:rsid w:val="00B0322E"/>
    <w:rsid w:val="00B038B5"/>
    <w:rsid w:val="00B038C8"/>
    <w:rsid w:val="00B0417D"/>
    <w:rsid w:val="00B07B0D"/>
    <w:rsid w:val="00B119BC"/>
    <w:rsid w:val="00B16BB0"/>
    <w:rsid w:val="00B16F62"/>
    <w:rsid w:val="00B20848"/>
    <w:rsid w:val="00B20C03"/>
    <w:rsid w:val="00B218FE"/>
    <w:rsid w:val="00B25C3D"/>
    <w:rsid w:val="00B25C65"/>
    <w:rsid w:val="00B27993"/>
    <w:rsid w:val="00B31AF8"/>
    <w:rsid w:val="00B328E9"/>
    <w:rsid w:val="00B34638"/>
    <w:rsid w:val="00B35293"/>
    <w:rsid w:val="00B36D9A"/>
    <w:rsid w:val="00B3757B"/>
    <w:rsid w:val="00B40FE5"/>
    <w:rsid w:val="00B436FA"/>
    <w:rsid w:val="00B461ED"/>
    <w:rsid w:val="00B47F87"/>
    <w:rsid w:val="00B507FD"/>
    <w:rsid w:val="00B53022"/>
    <w:rsid w:val="00B544A5"/>
    <w:rsid w:val="00B55059"/>
    <w:rsid w:val="00B55CD8"/>
    <w:rsid w:val="00B55D93"/>
    <w:rsid w:val="00B571EF"/>
    <w:rsid w:val="00B621D2"/>
    <w:rsid w:val="00B625A6"/>
    <w:rsid w:val="00B6265B"/>
    <w:rsid w:val="00B647AF"/>
    <w:rsid w:val="00B65CE4"/>
    <w:rsid w:val="00B65D6A"/>
    <w:rsid w:val="00B661E3"/>
    <w:rsid w:val="00B74572"/>
    <w:rsid w:val="00B761FF"/>
    <w:rsid w:val="00B8048C"/>
    <w:rsid w:val="00B8202B"/>
    <w:rsid w:val="00B82B44"/>
    <w:rsid w:val="00B83831"/>
    <w:rsid w:val="00B87BF2"/>
    <w:rsid w:val="00B9004A"/>
    <w:rsid w:val="00B90E1F"/>
    <w:rsid w:val="00B9524E"/>
    <w:rsid w:val="00B960C4"/>
    <w:rsid w:val="00B96B71"/>
    <w:rsid w:val="00B96E22"/>
    <w:rsid w:val="00B97831"/>
    <w:rsid w:val="00BA0179"/>
    <w:rsid w:val="00BA21DB"/>
    <w:rsid w:val="00BA27BF"/>
    <w:rsid w:val="00BA60A0"/>
    <w:rsid w:val="00BA7C52"/>
    <w:rsid w:val="00BB143A"/>
    <w:rsid w:val="00BB1DD9"/>
    <w:rsid w:val="00BC2DAF"/>
    <w:rsid w:val="00BC5FD8"/>
    <w:rsid w:val="00BC643B"/>
    <w:rsid w:val="00BC79A5"/>
    <w:rsid w:val="00BC7CF4"/>
    <w:rsid w:val="00BD0FCF"/>
    <w:rsid w:val="00BD495F"/>
    <w:rsid w:val="00BE0AEF"/>
    <w:rsid w:val="00BE0CFE"/>
    <w:rsid w:val="00BE1A6D"/>
    <w:rsid w:val="00BE3DDB"/>
    <w:rsid w:val="00BE641D"/>
    <w:rsid w:val="00BF41CD"/>
    <w:rsid w:val="00BF47B9"/>
    <w:rsid w:val="00BF6968"/>
    <w:rsid w:val="00C0170D"/>
    <w:rsid w:val="00C0252D"/>
    <w:rsid w:val="00C04551"/>
    <w:rsid w:val="00C078ED"/>
    <w:rsid w:val="00C11123"/>
    <w:rsid w:val="00C11E59"/>
    <w:rsid w:val="00C143B9"/>
    <w:rsid w:val="00C144B7"/>
    <w:rsid w:val="00C14FC6"/>
    <w:rsid w:val="00C20581"/>
    <w:rsid w:val="00C20DAA"/>
    <w:rsid w:val="00C26534"/>
    <w:rsid w:val="00C312E7"/>
    <w:rsid w:val="00C316B3"/>
    <w:rsid w:val="00C31FF0"/>
    <w:rsid w:val="00C37630"/>
    <w:rsid w:val="00C468AE"/>
    <w:rsid w:val="00C524BA"/>
    <w:rsid w:val="00C56F3D"/>
    <w:rsid w:val="00C603AB"/>
    <w:rsid w:val="00C6108E"/>
    <w:rsid w:val="00C66978"/>
    <w:rsid w:val="00C67FE9"/>
    <w:rsid w:val="00C72448"/>
    <w:rsid w:val="00C72AB4"/>
    <w:rsid w:val="00C73AF7"/>
    <w:rsid w:val="00C748ED"/>
    <w:rsid w:val="00C83CD9"/>
    <w:rsid w:val="00C86861"/>
    <w:rsid w:val="00C9337F"/>
    <w:rsid w:val="00C94737"/>
    <w:rsid w:val="00C97C6C"/>
    <w:rsid w:val="00CA03C5"/>
    <w:rsid w:val="00CA3FC4"/>
    <w:rsid w:val="00CA55CE"/>
    <w:rsid w:val="00CA6619"/>
    <w:rsid w:val="00CA7001"/>
    <w:rsid w:val="00CB129A"/>
    <w:rsid w:val="00CB1869"/>
    <w:rsid w:val="00CB1EF0"/>
    <w:rsid w:val="00CB59B2"/>
    <w:rsid w:val="00CB70F0"/>
    <w:rsid w:val="00CC031B"/>
    <w:rsid w:val="00CC06AD"/>
    <w:rsid w:val="00CC2E32"/>
    <w:rsid w:val="00CC644E"/>
    <w:rsid w:val="00CD2324"/>
    <w:rsid w:val="00CD43B3"/>
    <w:rsid w:val="00CD4DB9"/>
    <w:rsid w:val="00CD78BC"/>
    <w:rsid w:val="00CE0C58"/>
    <w:rsid w:val="00CE1A08"/>
    <w:rsid w:val="00CE1F3A"/>
    <w:rsid w:val="00CE5A64"/>
    <w:rsid w:val="00CF5099"/>
    <w:rsid w:val="00CF607A"/>
    <w:rsid w:val="00CF6859"/>
    <w:rsid w:val="00CF712B"/>
    <w:rsid w:val="00CF76E2"/>
    <w:rsid w:val="00D001AE"/>
    <w:rsid w:val="00D06F19"/>
    <w:rsid w:val="00D07FF2"/>
    <w:rsid w:val="00D1123C"/>
    <w:rsid w:val="00D12324"/>
    <w:rsid w:val="00D13C9D"/>
    <w:rsid w:val="00D13EAA"/>
    <w:rsid w:val="00D175C4"/>
    <w:rsid w:val="00D17AD4"/>
    <w:rsid w:val="00D20CEF"/>
    <w:rsid w:val="00D2463B"/>
    <w:rsid w:val="00D24DE7"/>
    <w:rsid w:val="00D25FEA"/>
    <w:rsid w:val="00D321B9"/>
    <w:rsid w:val="00D34432"/>
    <w:rsid w:val="00D3705C"/>
    <w:rsid w:val="00D37338"/>
    <w:rsid w:val="00D45794"/>
    <w:rsid w:val="00D46B23"/>
    <w:rsid w:val="00D479C3"/>
    <w:rsid w:val="00D510C8"/>
    <w:rsid w:val="00D51524"/>
    <w:rsid w:val="00D51ACB"/>
    <w:rsid w:val="00D53990"/>
    <w:rsid w:val="00D551E3"/>
    <w:rsid w:val="00D570D1"/>
    <w:rsid w:val="00D57657"/>
    <w:rsid w:val="00D60017"/>
    <w:rsid w:val="00D6101F"/>
    <w:rsid w:val="00D63CA3"/>
    <w:rsid w:val="00D664BA"/>
    <w:rsid w:val="00D700EE"/>
    <w:rsid w:val="00D7198A"/>
    <w:rsid w:val="00D730BB"/>
    <w:rsid w:val="00D73558"/>
    <w:rsid w:val="00D76761"/>
    <w:rsid w:val="00D806E6"/>
    <w:rsid w:val="00D84CFB"/>
    <w:rsid w:val="00D901AD"/>
    <w:rsid w:val="00D929E2"/>
    <w:rsid w:val="00D92DC1"/>
    <w:rsid w:val="00D94113"/>
    <w:rsid w:val="00D949B7"/>
    <w:rsid w:val="00D97B8C"/>
    <w:rsid w:val="00DA6691"/>
    <w:rsid w:val="00DA7701"/>
    <w:rsid w:val="00DB14FC"/>
    <w:rsid w:val="00DB26AA"/>
    <w:rsid w:val="00DB33D9"/>
    <w:rsid w:val="00DB5358"/>
    <w:rsid w:val="00DB5E57"/>
    <w:rsid w:val="00DB73EA"/>
    <w:rsid w:val="00DC412B"/>
    <w:rsid w:val="00DC5B4A"/>
    <w:rsid w:val="00DD0ED5"/>
    <w:rsid w:val="00DD4792"/>
    <w:rsid w:val="00DD50B6"/>
    <w:rsid w:val="00DD65DE"/>
    <w:rsid w:val="00DD7610"/>
    <w:rsid w:val="00DE14DF"/>
    <w:rsid w:val="00DE153F"/>
    <w:rsid w:val="00DE23E8"/>
    <w:rsid w:val="00DE2E88"/>
    <w:rsid w:val="00DE3AA7"/>
    <w:rsid w:val="00DE66A6"/>
    <w:rsid w:val="00DF4F49"/>
    <w:rsid w:val="00DF69CD"/>
    <w:rsid w:val="00E00494"/>
    <w:rsid w:val="00E02AE3"/>
    <w:rsid w:val="00E046E2"/>
    <w:rsid w:val="00E10486"/>
    <w:rsid w:val="00E12785"/>
    <w:rsid w:val="00E133DF"/>
    <w:rsid w:val="00E138B1"/>
    <w:rsid w:val="00E14467"/>
    <w:rsid w:val="00E17651"/>
    <w:rsid w:val="00E20D71"/>
    <w:rsid w:val="00E21E23"/>
    <w:rsid w:val="00E23C5B"/>
    <w:rsid w:val="00E24889"/>
    <w:rsid w:val="00E26D94"/>
    <w:rsid w:val="00E30C65"/>
    <w:rsid w:val="00E312CA"/>
    <w:rsid w:val="00E31584"/>
    <w:rsid w:val="00E357D0"/>
    <w:rsid w:val="00E36640"/>
    <w:rsid w:val="00E36D4D"/>
    <w:rsid w:val="00E36F14"/>
    <w:rsid w:val="00E377E9"/>
    <w:rsid w:val="00E43953"/>
    <w:rsid w:val="00E45147"/>
    <w:rsid w:val="00E45C77"/>
    <w:rsid w:val="00E45DCA"/>
    <w:rsid w:val="00E47447"/>
    <w:rsid w:val="00E526BC"/>
    <w:rsid w:val="00E53312"/>
    <w:rsid w:val="00E55629"/>
    <w:rsid w:val="00E5615A"/>
    <w:rsid w:val="00E5674B"/>
    <w:rsid w:val="00E57C2E"/>
    <w:rsid w:val="00E6123B"/>
    <w:rsid w:val="00E615B2"/>
    <w:rsid w:val="00E61BCC"/>
    <w:rsid w:val="00E64DD8"/>
    <w:rsid w:val="00E7644B"/>
    <w:rsid w:val="00E778C5"/>
    <w:rsid w:val="00E92C3C"/>
    <w:rsid w:val="00E92D59"/>
    <w:rsid w:val="00EA0A98"/>
    <w:rsid w:val="00EA24E1"/>
    <w:rsid w:val="00EA2F4C"/>
    <w:rsid w:val="00EA31DA"/>
    <w:rsid w:val="00EA6DD1"/>
    <w:rsid w:val="00EB14DF"/>
    <w:rsid w:val="00EB2134"/>
    <w:rsid w:val="00EB2E99"/>
    <w:rsid w:val="00EB389C"/>
    <w:rsid w:val="00EB600F"/>
    <w:rsid w:val="00EC0E15"/>
    <w:rsid w:val="00EC3016"/>
    <w:rsid w:val="00EC5A48"/>
    <w:rsid w:val="00ED15DF"/>
    <w:rsid w:val="00ED3213"/>
    <w:rsid w:val="00ED443D"/>
    <w:rsid w:val="00ED52ED"/>
    <w:rsid w:val="00ED570E"/>
    <w:rsid w:val="00ED5780"/>
    <w:rsid w:val="00ED66C6"/>
    <w:rsid w:val="00ED72C4"/>
    <w:rsid w:val="00ED73F4"/>
    <w:rsid w:val="00EE10C3"/>
    <w:rsid w:val="00EE1EC7"/>
    <w:rsid w:val="00EE2D9E"/>
    <w:rsid w:val="00EE7D18"/>
    <w:rsid w:val="00EF03F0"/>
    <w:rsid w:val="00EF2CB5"/>
    <w:rsid w:val="00EF3A2C"/>
    <w:rsid w:val="00EF4998"/>
    <w:rsid w:val="00EF5031"/>
    <w:rsid w:val="00F00248"/>
    <w:rsid w:val="00F02E98"/>
    <w:rsid w:val="00F03E14"/>
    <w:rsid w:val="00F03F13"/>
    <w:rsid w:val="00F04074"/>
    <w:rsid w:val="00F11F62"/>
    <w:rsid w:val="00F142AF"/>
    <w:rsid w:val="00F16432"/>
    <w:rsid w:val="00F22A22"/>
    <w:rsid w:val="00F261DB"/>
    <w:rsid w:val="00F2648E"/>
    <w:rsid w:val="00F31A7C"/>
    <w:rsid w:val="00F364BF"/>
    <w:rsid w:val="00F37A85"/>
    <w:rsid w:val="00F41ECF"/>
    <w:rsid w:val="00F42AC4"/>
    <w:rsid w:val="00F47F76"/>
    <w:rsid w:val="00F604E1"/>
    <w:rsid w:val="00F611A0"/>
    <w:rsid w:val="00F618CD"/>
    <w:rsid w:val="00F6273B"/>
    <w:rsid w:val="00F630B5"/>
    <w:rsid w:val="00F64CE7"/>
    <w:rsid w:val="00F71D7F"/>
    <w:rsid w:val="00F731AC"/>
    <w:rsid w:val="00F7354E"/>
    <w:rsid w:val="00F7434B"/>
    <w:rsid w:val="00F74E13"/>
    <w:rsid w:val="00F77154"/>
    <w:rsid w:val="00F80951"/>
    <w:rsid w:val="00F831E6"/>
    <w:rsid w:val="00F83E9D"/>
    <w:rsid w:val="00F845E8"/>
    <w:rsid w:val="00F86173"/>
    <w:rsid w:val="00F9100E"/>
    <w:rsid w:val="00F91A3A"/>
    <w:rsid w:val="00F91BE1"/>
    <w:rsid w:val="00F92C50"/>
    <w:rsid w:val="00FA15B5"/>
    <w:rsid w:val="00FA1E06"/>
    <w:rsid w:val="00FA3AB3"/>
    <w:rsid w:val="00FA50E8"/>
    <w:rsid w:val="00FA70FD"/>
    <w:rsid w:val="00FA7569"/>
    <w:rsid w:val="00FB02F4"/>
    <w:rsid w:val="00FB21A6"/>
    <w:rsid w:val="00FB2D89"/>
    <w:rsid w:val="00FB3E52"/>
    <w:rsid w:val="00FB5E80"/>
    <w:rsid w:val="00FC28E4"/>
    <w:rsid w:val="00FC50E0"/>
    <w:rsid w:val="00FC751D"/>
    <w:rsid w:val="00FD09E2"/>
    <w:rsid w:val="00FD2702"/>
    <w:rsid w:val="00FD4183"/>
    <w:rsid w:val="00FD4847"/>
    <w:rsid w:val="00FD6762"/>
    <w:rsid w:val="00FE0FD9"/>
    <w:rsid w:val="00FE22A6"/>
    <w:rsid w:val="00FE7EC3"/>
    <w:rsid w:val="00FF549D"/>
    <w:rsid w:val="00FF55AB"/>
    <w:rsid w:val="00FF7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8747D"/>
    <w:pPr>
      <w:spacing w:before="220" w:after="220" w:line="280" w:lineRule="exact"/>
      <w:jc w:val="both"/>
    </w:pPr>
    <w:rPr>
      <w:rFonts w:ascii="Arial Narrow" w:hAnsi="Arial Narrow"/>
      <w:spacing w:val="-2"/>
      <w:kern w:val="22"/>
      <w:sz w:val="22"/>
      <w:szCs w:val="22"/>
    </w:rPr>
  </w:style>
  <w:style w:type="paragraph" w:styleId="Heading1">
    <w:name w:val="heading 1"/>
    <w:basedOn w:val="Normal"/>
    <w:next w:val="Normal"/>
    <w:link w:val="Heading1Char"/>
    <w:uiPriority w:val="9"/>
    <w:qFormat/>
    <w:rsid w:val="005672E3"/>
    <w:pPr>
      <w:spacing w:line="276" w:lineRule="auto"/>
      <w:jc w:val="left"/>
      <w:outlineLvl w:val="0"/>
    </w:pPr>
    <w:rPr>
      <w:b/>
      <w:sz w:val="28"/>
      <w:szCs w:val="28"/>
    </w:rPr>
  </w:style>
  <w:style w:type="paragraph" w:styleId="Heading2">
    <w:name w:val="heading 2"/>
    <w:basedOn w:val="Normal"/>
    <w:next w:val="Normal"/>
    <w:link w:val="Heading2Char"/>
    <w:uiPriority w:val="9"/>
    <w:unhideWhenUsed/>
    <w:qFormat/>
    <w:rsid w:val="005672E3"/>
    <w:pPr>
      <w:spacing w:before="0" w:after="200" w:line="276" w:lineRule="auto"/>
      <w:jc w:val="left"/>
      <w:outlineLvl w:val="1"/>
    </w:pPr>
    <w:rPr>
      <w:b/>
    </w:rPr>
  </w:style>
  <w:style w:type="paragraph" w:styleId="Heading3">
    <w:name w:val="heading 3"/>
    <w:basedOn w:val="Normal"/>
    <w:next w:val="Normal"/>
    <w:link w:val="Heading3Char"/>
    <w:uiPriority w:val="9"/>
    <w:unhideWhenUsed/>
    <w:rsid w:val="00DE2E88"/>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Corp">
    <w:name w:val="TCorp"/>
    <w:basedOn w:val="TableNormal"/>
    <w:uiPriority w:val="99"/>
    <w:qFormat/>
    <w:rsid w:val="009855FA"/>
    <w:pPr>
      <w:jc w:val="center"/>
    </w:pPr>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rPr>
        <w:rFonts w:ascii="Arial Narrow" w:hAnsi="Arial Narrow"/>
        <w:b/>
        <w:color w:val="FFFFFF"/>
        <w:sz w:val="22"/>
      </w:rPr>
      <w:tblPr/>
      <w:tcPr>
        <w:shd w:val="clear" w:color="auto" w:fill="BACFF8"/>
      </w:tcPr>
    </w:tblStylePr>
    <w:tblStylePr w:type="band2Vert">
      <w:pPr>
        <w:jc w:val="center"/>
      </w:pPr>
      <w:tblPr/>
      <w:tcPr>
        <w:vAlign w:val="top"/>
      </w:tcPr>
    </w:tblStylePr>
    <w:tblStylePr w:type="band2Horz">
      <w:pPr>
        <w:jc w:val="center"/>
      </w:pPr>
      <w:tblPr/>
      <w:tcPr>
        <w:shd w:val="clear" w:color="auto" w:fill="EBF2FA"/>
        <w:vAlign w:val="top"/>
      </w:tcPr>
    </w:tblStylePr>
  </w:style>
  <w:style w:type="table" w:styleId="TableGrid">
    <w:name w:val="Table Grid"/>
    <w:basedOn w:val="TableNormal"/>
    <w:uiPriority w:val="59"/>
    <w:rsid w:val="001967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93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3937"/>
    <w:rPr>
      <w:rFonts w:ascii="Arial Narrow" w:hAnsi="Arial Narrow" w:cs="Times New Roman"/>
      <w:spacing w:val="-2"/>
      <w:kern w:val="22"/>
      <w:lang w:eastAsia="en-AU"/>
    </w:rPr>
  </w:style>
  <w:style w:type="paragraph" w:styleId="Footer">
    <w:name w:val="footer"/>
    <w:basedOn w:val="Normal"/>
    <w:link w:val="FooterChar"/>
    <w:uiPriority w:val="99"/>
    <w:unhideWhenUsed/>
    <w:rsid w:val="000239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3937"/>
    <w:rPr>
      <w:rFonts w:ascii="Arial Narrow" w:hAnsi="Arial Narrow" w:cs="Times New Roman"/>
      <w:spacing w:val="-2"/>
      <w:kern w:val="22"/>
      <w:lang w:eastAsia="en-AU"/>
    </w:rPr>
  </w:style>
  <w:style w:type="paragraph" w:styleId="ListParagraph">
    <w:name w:val="List Paragraph"/>
    <w:basedOn w:val="Normal"/>
    <w:uiPriority w:val="34"/>
    <w:qFormat/>
    <w:rsid w:val="00156809"/>
    <w:pPr>
      <w:ind w:left="720"/>
      <w:contextualSpacing/>
    </w:pPr>
  </w:style>
  <w:style w:type="paragraph" w:customStyle="1" w:styleId="Default">
    <w:name w:val="Default"/>
    <w:rsid w:val="006723E9"/>
    <w:pPr>
      <w:autoSpaceDE w:val="0"/>
      <w:autoSpaceDN w:val="0"/>
      <w:adjustRightInd w:val="0"/>
    </w:pPr>
    <w:rPr>
      <w:rFonts w:ascii="Arial" w:eastAsia="Calibri" w:hAnsi="Arial" w:cs="Arial"/>
      <w:color w:val="000000"/>
      <w:sz w:val="24"/>
      <w:szCs w:val="24"/>
      <w:lang w:eastAsia="en-US"/>
    </w:rPr>
  </w:style>
  <w:style w:type="paragraph" w:customStyle="1" w:styleId="chapterno">
    <w:name w:val="chapterno"/>
    <w:basedOn w:val="Normal"/>
    <w:rsid w:val="006723E9"/>
    <w:pPr>
      <w:spacing w:before="0" w:after="0" w:line="240" w:lineRule="auto"/>
      <w:jc w:val="left"/>
    </w:pPr>
    <w:rPr>
      <w:rFonts w:ascii="Times New Roman" w:hAnsi="Times New Roman"/>
      <w:spacing w:val="0"/>
      <w:kern w:val="0"/>
      <w:sz w:val="24"/>
      <w:szCs w:val="24"/>
    </w:rPr>
  </w:style>
  <w:style w:type="paragraph" w:styleId="EndnoteText">
    <w:name w:val="endnote text"/>
    <w:basedOn w:val="Normal"/>
    <w:link w:val="EndnoteTextChar"/>
    <w:uiPriority w:val="99"/>
    <w:semiHidden/>
    <w:unhideWhenUsed/>
    <w:rsid w:val="007869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8696A"/>
    <w:rPr>
      <w:rFonts w:ascii="Arial Narrow" w:hAnsi="Arial Narrow" w:cs="Times New Roman"/>
      <w:spacing w:val="-2"/>
      <w:kern w:val="22"/>
      <w:sz w:val="20"/>
      <w:szCs w:val="20"/>
      <w:lang w:eastAsia="en-AU"/>
    </w:rPr>
  </w:style>
  <w:style w:type="character" w:styleId="EndnoteReference">
    <w:name w:val="endnote reference"/>
    <w:basedOn w:val="DefaultParagraphFont"/>
    <w:uiPriority w:val="99"/>
    <w:semiHidden/>
    <w:unhideWhenUsed/>
    <w:rsid w:val="0078696A"/>
    <w:rPr>
      <w:vertAlign w:val="superscript"/>
    </w:rPr>
  </w:style>
  <w:style w:type="paragraph" w:styleId="BalloonText">
    <w:name w:val="Balloon Text"/>
    <w:basedOn w:val="Normal"/>
    <w:link w:val="BalloonTextChar"/>
    <w:uiPriority w:val="99"/>
    <w:semiHidden/>
    <w:unhideWhenUsed/>
    <w:rsid w:val="007869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6A"/>
    <w:rPr>
      <w:rFonts w:ascii="Tahoma" w:hAnsi="Tahoma" w:cs="Tahoma"/>
      <w:spacing w:val="-2"/>
      <w:kern w:val="22"/>
      <w:sz w:val="16"/>
      <w:szCs w:val="16"/>
      <w:lang w:eastAsia="en-AU"/>
    </w:rPr>
  </w:style>
  <w:style w:type="paragraph" w:styleId="FootnoteText">
    <w:name w:val="footnote text"/>
    <w:basedOn w:val="Normal"/>
    <w:link w:val="FootnoteTextChar"/>
    <w:uiPriority w:val="99"/>
    <w:unhideWhenUsed/>
    <w:rsid w:val="004B0C2A"/>
    <w:pPr>
      <w:spacing w:before="0" w:after="0" w:line="240" w:lineRule="auto"/>
      <w:jc w:val="left"/>
    </w:pPr>
    <w:rPr>
      <w:rFonts w:ascii="Calibri" w:eastAsia="Calibri" w:hAnsi="Calibri"/>
      <w:spacing w:val="0"/>
      <w:kern w:val="0"/>
      <w:sz w:val="20"/>
      <w:szCs w:val="20"/>
      <w:lang w:eastAsia="en-US"/>
    </w:rPr>
  </w:style>
  <w:style w:type="character" w:customStyle="1" w:styleId="FootnoteTextChar">
    <w:name w:val="Footnote Text Char"/>
    <w:basedOn w:val="DefaultParagraphFont"/>
    <w:link w:val="FootnoteText"/>
    <w:uiPriority w:val="99"/>
    <w:rsid w:val="004B0C2A"/>
    <w:rPr>
      <w:rFonts w:eastAsia="Calibri"/>
      <w:sz w:val="20"/>
      <w:szCs w:val="20"/>
    </w:rPr>
  </w:style>
  <w:style w:type="character" w:styleId="FootnoteReference">
    <w:name w:val="footnote reference"/>
    <w:basedOn w:val="DefaultParagraphFont"/>
    <w:uiPriority w:val="99"/>
    <w:semiHidden/>
    <w:unhideWhenUsed/>
    <w:rsid w:val="004B0C2A"/>
    <w:rPr>
      <w:vertAlign w:val="superscript"/>
    </w:rPr>
  </w:style>
  <w:style w:type="character" w:styleId="Hyperlink">
    <w:name w:val="Hyperlink"/>
    <w:basedOn w:val="DefaultParagraphFont"/>
    <w:uiPriority w:val="99"/>
    <w:unhideWhenUsed/>
    <w:rsid w:val="004B0C2A"/>
    <w:rPr>
      <w:strike w:val="0"/>
      <w:dstrike w:val="0"/>
      <w:color w:val="CD4900"/>
      <w:sz w:val="18"/>
      <w:szCs w:val="18"/>
      <w:u w:val="none"/>
      <w:effect w:val="none"/>
    </w:rPr>
  </w:style>
  <w:style w:type="paragraph" w:styleId="NormalWeb">
    <w:name w:val="Normal (Web)"/>
    <w:basedOn w:val="Normal"/>
    <w:uiPriority w:val="99"/>
    <w:unhideWhenUsed/>
    <w:rsid w:val="004B0C2A"/>
    <w:pPr>
      <w:spacing w:before="100" w:beforeAutospacing="1" w:after="100" w:afterAutospacing="1" w:line="240" w:lineRule="auto"/>
      <w:jc w:val="left"/>
    </w:pPr>
    <w:rPr>
      <w:rFonts w:ascii="Times New Roman" w:hAnsi="Times New Roman"/>
      <w:spacing w:val="0"/>
      <w:kern w:val="0"/>
      <w:sz w:val="24"/>
      <w:szCs w:val="24"/>
    </w:rPr>
  </w:style>
  <w:style w:type="paragraph" w:styleId="NoSpacing">
    <w:name w:val="No Spacing"/>
    <w:uiPriority w:val="1"/>
    <w:rsid w:val="00D806E6"/>
    <w:pPr>
      <w:jc w:val="both"/>
    </w:pPr>
    <w:rPr>
      <w:rFonts w:ascii="Arial Narrow" w:hAnsi="Arial Narrow"/>
      <w:spacing w:val="-2"/>
      <w:kern w:val="22"/>
      <w:sz w:val="22"/>
      <w:szCs w:val="22"/>
    </w:rPr>
  </w:style>
  <w:style w:type="paragraph" w:styleId="DocumentMap">
    <w:name w:val="Document Map"/>
    <w:basedOn w:val="Normal"/>
    <w:link w:val="DocumentMapChar"/>
    <w:uiPriority w:val="99"/>
    <w:semiHidden/>
    <w:unhideWhenUsed/>
    <w:rsid w:val="005672E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2E3"/>
    <w:rPr>
      <w:rFonts w:ascii="Tahoma" w:hAnsi="Tahoma" w:cs="Tahoma"/>
      <w:spacing w:val="-2"/>
      <w:kern w:val="22"/>
      <w:sz w:val="16"/>
      <w:szCs w:val="16"/>
      <w:lang w:eastAsia="en-AU"/>
    </w:rPr>
  </w:style>
  <w:style w:type="character" w:customStyle="1" w:styleId="Heading1Char">
    <w:name w:val="Heading 1 Char"/>
    <w:basedOn w:val="DefaultParagraphFont"/>
    <w:link w:val="Heading1"/>
    <w:uiPriority w:val="9"/>
    <w:rsid w:val="005672E3"/>
    <w:rPr>
      <w:rFonts w:ascii="Arial Narrow" w:hAnsi="Arial Narrow" w:cs="Times New Roman"/>
      <w:b/>
      <w:spacing w:val="-2"/>
      <w:kern w:val="22"/>
      <w:sz w:val="28"/>
      <w:szCs w:val="28"/>
      <w:lang w:eastAsia="en-AU"/>
    </w:rPr>
  </w:style>
  <w:style w:type="paragraph" w:styleId="TOCHeading">
    <w:name w:val="TOC Heading"/>
    <w:basedOn w:val="Heading1"/>
    <w:next w:val="Normal"/>
    <w:uiPriority w:val="39"/>
    <w:unhideWhenUsed/>
    <w:qFormat/>
    <w:rsid w:val="005672E3"/>
    <w:pPr>
      <w:outlineLvl w:val="9"/>
    </w:pPr>
    <w:rPr>
      <w:spacing w:val="0"/>
      <w:kern w:val="0"/>
      <w:lang w:val="en-US" w:eastAsia="en-US"/>
    </w:rPr>
  </w:style>
  <w:style w:type="paragraph" w:styleId="TOC2">
    <w:name w:val="toc 2"/>
    <w:basedOn w:val="Normal"/>
    <w:next w:val="Normal"/>
    <w:autoRedefine/>
    <w:uiPriority w:val="39"/>
    <w:unhideWhenUsed/>
    <w:qFormat/>
    <w:rsid w:val="00415615"/>
    <w:pPr>
      <w:tabs>
        <w:tab w:val="left" w:pos="993"/>
        <w:tab w:val="right" w:leader="dot" w:pos="8023"/>
      </w:tabs>
      <w:spacing w:before="0" w:after="100" w:line="276" w:lineRule="auto"/>
      <w:ind w:left="220"/>
      <w:jc w:val="left"/>
    </w:pPr>
    <w:rPr>
      <w:rFonts w:ascii="Calibri" w:hAnsi="Calibri"/>
      <w:spacing w:val="0"/>
      <w:kern w:val="0"/>
      <w:lang w:val="en-US" w:eastAsia="en-US"/>
    </w:rPr>
  </w:style>
  <w:style w:type="paragraph" w:styleId="TOC1">
    <w:name w:val="toc 1"/>
    <w:basedOn w:val="Normal"/>
    <w:next w:val="Normal"/>
    <w:autoRedefine/>
    <w:uiPriority w:val="39"/>
    <w:unhideWhenUsed/>
    <w:qFormat/>
    <w:rsid w:val="005672E3"/>
    <w:pPr>
      <w:spacing w:before="0" w:after="100" w:line="276" w:lineRule="auto"/>
      <w:jc w:val="left"/>
    </w:pPr>
    <w:rPr>
      <w:rFonts w:ascii="Calibri" w:hAnsi="Calibri"/>
      <w:spacing w:val="0"/>
      <w:kern w:val="0"/>
      <w:lang w:val="en-US" w:eastAsia="en-US"/>
    </w:rPr>
  </w:style>
  <w:style w:type="paragraph" w:styleId="TOC3">
    <w:name w:val="toc 3"/>
    <w:basedOn w:val="Normal"/>
    <w:next w:val="Normal"/>
    <w:autoRedefine/>
    <w:uiPriority w:val="39"/>
    <w:unhideWhenUsed/>
    <w:qFormat/>
    <w:rsid w:val="005672E3"/>
    <w:pPr>
      <w:spacing w:before="0" w:after="100" w:line="276" w:lineRule="auto"/>
      <w:ind w:left="440"/>
      <w:jc w:val="left"/>
    </w:pPr>
    <w:rPr>
      <w:rFonts w:ascii="Calibri" w:hAnsi="Calibri"/>
      <w:spacing w:val="0"/>
      <w:kern w:val="0"/>
      <w:lang w:val="en-US" w:eastAsia="en-US"/>
    </w:rPr>
  </w:style>
  <w:style w:type="character" w:customStyle="1" w:styleId="Heading2Char">
    <w:name w:val="Heading 2 Char"/>
    <w:basedOn w:val="DefaultParagraphFont"/>
    <w:link w:val="Heading2"/>
    <w:uiPriority w:val="9"/>
    <w:rsid w:val="005672E3"/>
    <w:rPr>
      <w:rFonts w:ascii="Arial Narrow" w:hAnsi="Arial Narrow" w:cs="Times New Roman"/>
      <w:b/>
      <w:spacing w:val="-2"/>
      <w:kern w:val="22"/>
      <w:lang w:eastAsia="en-AU"/>
    </w:rPr>
  </w:style>
  <w:style w:type="paragraph" w:styleId="Title">
    <w:name w:val="Title"/>
    <w:aliases w:val="Underlined heading"/>
    <w:basedOn w:val="Normal"/>
    <w:next w:val="Normal"/>
    <w:link w:val="TitleChar"/>
    <w:uiPriority w:val="10"/>
    <w:qFormat/>
    <w:rsid w:val="00DE2E88"/>
    <w:rPr>
      <w:u w:val="single"/>
    </w:rPr>
  </w:style>
  <w:style w:type="character" w:customStyle="1" w:styleId="TitleChar">
    <w:name w:val="Title Char"/>
    <w:aliases w:val="Underlined heading Char"/>
    <w:basedOn w:val="DefaultParagraphFont"/>
    <w:link w:val="Title"/>
    <w:uiPriority w:val="10"/>
    <w:rsid w:val="00DE2E88"/>
    <w:rPr>
      <w:rFonts w:ascii="Arial Narrow" w:hAnsi="Arial Narrow"/>
      <w:spacing w:val="-2"/>
      <w:kern w:val="22"/>
      <w:sz w:val="22"/>
      <w:szCs w:val="22"/>
      <w:u w:val="single"/>
    </w:rPr>
  </w:style>
  <w:style w:type="paragraph" w:styleId="Subtitle">
    <w:name w:val="Subtitle"/>
    <w:aliases w:val="Bullet point"/>
    <w:basedOn w:val="ListParagraph"/>
    <w:next w:val="Normal"/>
    <w:link w:val="SubtitleChar"/>
    <w:uiPriority w:val="99"/>
    <w:qFormat/>
    <w:rsid w:val="00E5674B"/>
    <w:pPr>
      <w:numPr>
        <w:numId w:val="1"/>
      </w:numPr>
    </w:pPr>
  </w:style>
  <w:style w:type="character" w:customStyle="1" w:styleId="SubtitleChar">
    <w:name w:val="Subtitle Char"/>
    <w:aliases w:val="Bullet point Char"/>
    <w:basedOn w:val="DefaultParagraphFont"/>
    <w:link w:val="Subtitle"/>
    <w:uiPriority w:val="99"/>
    <w:rsid w:val="00E5674B"/>
    <w:rPr>
      <w:rFonts w:ascii="Arial Narrow" w:hAnsi="Arial Narrow"/>
      <w:spacing w:val="-2"/>
      <w:kern w:val="22"/>
      <w:sz w:val="22"/>
      <w:szCs w:val="22"/>
    </w:rPr>
  </w:style>
  <w:style w:type="character" w:customStyle="1" w:styleId="Heading3Char">
    <w:name w:val="Heading 3 Char"/>
    <w:basedOn w:val="DefaultParagraphFont"/>
    <w:link w:val="Heading3"/>
    <w:uiPriority w:val="9"/>
    <w:rsid w:val="00DE2E88"/>
    <w:rPr>
      <w:rFonts w:ascii="Arial Narrow" w:hAnsi="Arial Narrow"/>
      <w:spacing w:val="-2"/>
      <w:kern w:val="22"/>
      <w:sz w:val="22"/>
      <w:szCs w:val="22"/>
      <w:u w:val="single"/>
    </w:rPr>
  </w:style>
  <w:style w:type="character" w:styleId="SubtleEmphasis">
    <w:name w:val="Subtle Emphasis"/>
    <w:aliases w:val="Table wording"/>
    <w:uiPriority w:val="19"/>
    <w:rsid w:val="005565B4"/>
    <w:rPr>
      <w:rFonts w:cs="Calibri"/>
      <w:color w:val="000000"/>
      <w:spacing w:val="0"/>
      <w:kern w:val="0"/>
      <w:lang w:eastAsia="en-US"/>
    </w:rPr>
  </w:style>
  <w:style w:type="character" w:styleId="Emphasis">
    <w:name w:val="Emphasis"/>
    <w:aliases w:val="Table heading"/>
    <w:uiPriority w:val="20"/>
    <w:rsid w:val="00374A23"/>
    <w:rPr>
      <w:rFonts w:cs="Calibri"/>
      <w:b/>
      <w:bCs/>
      <w:color w:val="000000"/>
    </w:rPr>
  </w:style>
  <w:style w:type="character" w:styleId="IntenseEmphasis">
    <w:name w:val="Intense Emphasis"/>
    <w:aliases w:val="Table heading centre"/>
    <w:uiPriority w:val="21"/>
    <w:rsid w:val="00374A23"/>
    <w:rPr>
      <w:rFonts w:cs="Calibri"/>
      <w:b/>
      <w:bCs/>
      <w:color w:val="000000"/>
    </w:rPr>
  </w:style>
  <w:style w:type="paragraph" w:styleId="TOC4">
    <w:name w:val="toc 4"/>
    <w:basedOn w:val="Normal"/>
    <w:next w:val="Normal"/>
    <w:autoRedefine/>
    <w:uiPriority w:val="39"/>
    <w:unhideWhenUsed/>
    <w:rsid w:val="0068747D"/>
    <w:pPr>
      <w:spacing w:before="0" w:after="100" w:line="276" w:lineRule="auto"/>
      <w:ind w:left="660"/>
      <w:jc w:val="left"/>
    </w:pPr>
    <w:rPr>
      <w:rFonts w:asciiTheme="minorHAnsi" w:eastAsiaTheme="minorEastAsia" w:hAnsiTheme="minorHAnsi" w:cstheme="minorBidi"/>
      <w:spacing w:val="0"/>
      <w:kern w:val="0"/>
    </w:rPr>
  </w:style>
  <w:style w:type="paragraph" w:styleId="TOC5">
    <w:name w:val="toc 5"/>
    <w:basedOn w:val="Normal"/>
    <w:next w:val="Normal"/>
    <w:autoRedefine/>
    <w:uiPriority w:val="39"/>
    <w:unhideWhenUsed/>
    <w:rsid w:val="0068747D"/>
    <w:pPr>
      <w:spacing w:before="0" w:after="100" w:line="276" w:lineRule="auto"/>
      <w:ind w:left="880"/>
      <w:jc w:val="left"/>
    </w:pPr>
    <w:rPr>
      <w:rFonts w:asciiTheme="minorHAnsi" w:eastAsiaTheme="minorEastAsia" w:hAnsiTheme="minorHAnsi" w:cstheme="minorBidi"/>
      <w:spacing w:val="0"/>
      <w:kern w:val="0"/>
    </w:rPr>
  </w:style>
  <w:style w:type="paragraph" w:styleId="TOC6">
    <w:name w:val="toc 6"/>
    <w:basedOn w:val="Normal"/>
    <w:next w:val="Normal"/>
    <w:autoRedefine/>
    <w:uiPriority w:val="39"/>
    <w:unhideWhenUsed/>
    <w:rsid w:val="0068747D"/>
    <w:pPr>
      <w:spacing w:before="0" w:after="100" w:line="276" w:lineRule="auto"/>
      <w:ind w:left="1100"/>
      <w:jc w:val="left"/>
    </w:pPr>
    <w:rPr>
      <w:rFonts w:asciiTheme="minorHAnsi" w:eastAsiaTheme="minorEastAsia" w:hAnsiTheme="minorHAnsi" w:cstheme="minorBidi"/>
      <w:spacing w:val="0"/>
      <w:kern w:val="0"/>
    </w:rPr>
  </w:style>
  <w:style w:type="paragraph" w:styleId="TOC7">
    <w:name w:val="toc 7"/>
    <w:basedOn w:val="Normal"/>
    <w:next w:val="Normal"/>
    <w:autoRedefine/>
    <w:uiPriority w:val="39"/>
    <w:unhideWhenUsed/>
    <w:rsid w:val="0068747D"/>
    <w:pPr>
      <w:spacing w:before="0" w:after="100" w:line="276" w:lineRule="auto"/>
      <w:ind w:left="1320"/>
      <w:jc w:val="left"/>
    </w:pPr>
    <w:rPr>
      <w:rFonts w:asciiTheme="minorHAnsi" w:eastAsiaTheme="minorEastAsia" w:hAnsiTheme="minorHAnsi" w:cstheme="minorBidi"/>
      <w:spacing w:val="0"/>
      <w:kern w:val="0"/>
    </w:rPr>
  </w:style>
  <w:style w:type="paragraph" w:styleId="TOC8">
    <w:name w:val="toc 8"/>
    <w:basedOn w:val="Normal"/>
    <w:next w:val="Normal"/>
    <w:autoRedefine/>
    <w:uiPriority w:val="39"/>
    <w:unhideWhenUsed/>
    <w:rsid w:val="0068747D"/>
    <w:pPr>
      <w:spacing w:before="0" w:after="100" w:line="276" w:lineRule="auto"/>
      <w:ind w:left="1540"/>
      <w:jc w:val="left"/>
    </w:pPr>
    <w:rPr>
      <w:rFonts w:asciiTheme="minorHAnsi" w:eastAsiaTheme="minorEastAsia" w:hAnsiTheme="minorHAnsi" w:cstheme="minorBidi"/>
      <w:spacing w:val="0"/>
      <w:kern w:val="0"/>
    </w:rPr>
  </w:style>
  <w:style w:type="paragraph" w:styleId="TOC9">
    <w:name w:val="toc 9"/>
    <w:basedOn w:val="Normal"/>
    <w:next w:val="Normal"/>
    <w:autoRedefine/>
    <w:uiPriority w:val="39"/>
    <w:unhideWhenUsed/>
    <w:rsid w:val="0068747D"/>
    <w:pPr>
      <w:spacing w:before="0" w:after="100" w:line="276" w:lineRule="auto"/>
      <w:ind w:left="1760"/>
      <w:jc w:val="left"/>
    </w:pPr>
    <w:rPr>
      <w:rFonts w:asciiTheme="minorHAnsi" w:eastAsiaTheme="minorEastAsia" w:hAnsiTheme="minorHAnsi" w:cstheme="minorBidi"/>
      <w:spacing w:val="0"/>
      <w:kern w:val="0"/>
    </w:rPr>
  </w:style>
  <w:style w:type="character" w:styleId="Strong">
    <w:name w:val="Strong"/>
    <w:basedOn w:val="DefaultParagraphFont"/>
    <w:uiPriority w:val="22"/>
    <w:qFormat/>
    <w:rsid w:val="005565B4"/>
    <w:rPr>
      <w:b/>
      <w:bCs/>
    </w:rPr>
  </w:style>
  <w:style w:type="paragraph" w:customStyle="1" w:styleId="Tabletext2">
    <w:name w:val="Table text2"/>
    <w:basedOn w:val="Normal"/>
    <w:link w:val="Tabletext2Char"/>
    <w:rsid w:val="005565B4"/>
    <w:pPr>
      <w:spacing w:before="40" w:after="40" w:line="240" w:lineRule="auto"/>
    </w:pPr>
  </w:style>
  <w:style w:type="paragraph" w:customStyle="1" w:styleId="Tabletext">
    <w:name w:val="Tabletext"/>
    <w:basedOn w:val="Tabletext2"/>
    <w:link w:val="TabletextChar"/>
    <w:qFormat/>
    <w:rsid w:val="00661024"/>
    <w:pPr>
      <w:jc w:val="left"/>
    </w:pPr>
  </w:style>
  <w:style w:type="paragraph" w:customStyle="1" w:styleId="TableHeading">
    <w:name w:val="TableHeading"/>
    <w:basedOn w:val="Tabletext"/>
    <w:next w:val="Tabletext2"/>
    <w:link w:val="TableHeadingChar"/>
    <w:autoRedefine/>
    <w:qFormat/>
    <w:rsid w:val="00490328"/>
    <w:pPr>
      <w:jc w:val="center"/>
    </w:pPr>
    <w:rPr>
      <w:b/>
      <w:bCs/>
    </w:rPr>
  </w:style>
  <w:style w:type="character" w:customStyle="1" w:styleId="Tabletext2Char">
    <w:name w:val="Table text2 Char"/>
    <w:basedOn w:val="DefaultParagraphFont"/>
    <w:link w:val="Tabletext2"/>
    <w:rsid w:val="00661024"/>
    <w:rPr>
      <w:rFonts w:ascii="Arial Narrow" w:hAnsi="Arial Narrow"/>
      <w:spacing w:val="-2"/>
      <w:kern w:val="22"/>
      <w:sz w:val="22"/>
      <w:szCs w:val="22"/>
    </w:rPr>
  </w:style>
  <w:style w:type="character" w:customStyle="1" w:styleId="TabletextChar">
    <w:name w:val="Tabletext Char"/>
    <w:basedOn w:val="Tabletext2Char"/>
    <w:link w:val="Tabletext"/>
    <w:rsid w:val="00661024"/>
    <w:rPr>
      <w:rFonts w:ascii="Arial Narrow" w:hAnsi="Arial Narrow"/>
      <w:spacing w:val="-2"/>
      <w:kern w:val="22"/>
      <w:sz w:val="22"/>
      <w:szCs w:val="22"/>
    </w:rPr>
  </w:style>
  <w:style w:type="character" w:customStyle="1" w:styleId="TableHeadingChar">
    <w:name w:val="TableHeading Char"/>
    <w:basedOn w:val="TabletextChar"/>
    <w:link w:val="TableHeading"/>
    <w:rsid w:val="00490328"/>
    <w:rPr>
      <w:rFonts w:ascii="Arial Narrow" w:hAnsi="Arial Narrow"/>
      <w:b/>
      <w:bCs/>
      <w:spacing w:val="-2"/>
      <w:kern w:val="22"/>
      <w:sz w:val="22"/>
      <w:szCs w:val="22"/>
    </w:rPr>
  </w:style>
  <w:style w:type="paragraph" w:customStyle="1" w:styleId="TableNumbers">
    <w:name w:val="TableNumbers"/>
    <w:basedOn w:val="Tabletext"/>
    <w:link w:val="TableNumbersChar"/>
    <w:qFormat/>
    <w:rsid w:val="00661024"/>
    <w:pPr>
      <w:jc w:val="center"/>
    </w:pPr>
  </w:style>
  <w:style w:type="character" w:customStyle="1" w:styleId="TableNumbersChar">
    <w:name w:val="TableNumbers Char"/>
    <w:basedOn w:val="TabletextChar"/>
    <w:link w:val="TableNumbers"/>
    <w:rsid w:val="00661024"/>
    <w:rPr>
      <w:rFonts w:ascii="Arial Narrow" w:hAnsi="Arial Narrow"/>
      <w:spacing w:val="-2"/>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8747D"/>
    <w:pPr>
      <w:spacing w:before="220" w:after="220" w:line="280" w:lineRule="exact"/>
      <w:jc w:val="both"/>
    </w:pPr>
    <w:rPr>
      <w:rFonts w:ascii="Arial Narrow" w:hAnsi="Arial Narrow"/>
      <w:spacing w:val="-2"/>
      <w:kern w:val="22"/>
      <w:sz w:val="22"/>
      <w:szCs w:val="22"/>
    </w:rPr>
  </w:style>
  <w:style w:type="paragraph" w:styleId="Heading1">
    <w:name w:val="heading 1"/>
    <w:basedOn w:val="Normal"/>
    <w:next w:val="Normal"/>
    <w:link w:val="Heading1Char"/>
    <w:uiPriority w:val="9"/>
    <w:qFormat/>
    <w:rsid w:val="005672E3"/>
    <w:pPr>
      <w:spacing w:line="276" w:lineRule="auto"/>
      <w:jc w:val="left"/>
      <w:outlineLvl w:val="0"/>
    </w:pPr>
    <w:rPr>
      <w:b/>
      <w:sz w:val="28"/>
      <w:szCs w:val="28"/>
    </w:rPr>
  </w:style>
  <w:style w:type="paragraph" w:styleId="Heading2">
    <w:name w:val="heading 2"/>
    <w:basedOn w:val="Normal"/>
    <w:next w:val="Normal"/>
    <w:link w:val="Heading2Char"/>
    <w:uiPriority w:val="9"/>
    <w:unhideWhenUsed/>
    <w:qFormat/>
    <w:rsid w:val="005672E3"/>
    <w:pPr>
      <w:spacing w:before="0" w:after="200" w:line="276" w:lineRule="auto"/>
      <w:jc w:val="left"/>
      <w:outlineLvl w:val="1"/>
    </w:pPr>
    <w:rPr>
      <w:b/>
    </w:rPr>
  </w:style>
  <w:style w:type="paragraph" w:styleId="Heading3">
    <w:name w:val="heading 3"/>
    <w:basedOn w:val="Normal"/>
    <w:next w:val="Normal"/>
    <w:link w:val="Heading3Char"/>
    <w:uiPriority w:val="9"/>
    <w:unhideWhenUsed/>
    <w:rsid w:val="00DE2E88"/>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Corp">
    <w:name w:val="TCorp"/>
    <w:basedOn w:val="TableNormal"/>
    <w:uiPriority w:val="99"/>
    <w:qFormat/>
    <w:rsid w:val="009855FA"/>
    <w:pPr>
      <w:jc w:val="center"/>
    </w:pPr>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rPr>
        <w:rFonts w:ascii="Arial Narrow" w:hAnsi="Arial Narrow"/>
        <w:b/>
        <w:color w:val="FFFFFF"/>
        <w:sz w:val="22"/>
      </w:rPr>
      <w:tblPr/>
      <w:tcPr>
        <w:shd w:val="clear" w:color="auto" w:fill="BACFF8"/>
      </w:tcPr>
    </w:tblStylePr>
    <w:tblStylePr w:type="band2Vert">
      <w:pPr>
        <w:jc w:val="center"/>
      </w:pPr>
      <w:tblPr/>
      <w:tcPr>
        <w:vAlign w:val="top"/>
      </w:tcPr>
    </w:tblStylePr>
    <w:tblStylePr w:type="band2Horz">
      <w:pPr>
        <w:jc w:val="center"/>
      </w:pPr>
      <w:tblPr/>
      <w:tcPr>
        <w:shd w:val="clear" w:color="auto" w:fill="EBF2FA"/>
        <w:vAlign w:val="top"/>
      </w:tcPr>
    </w:tblStylePr>
  </w:style>
  <w:style w:type="table" w:styleId="TableGrid">
    <w:name w:val="Table Grid"/>
    <w:basedOn w:val="TableNormal"/>
    <w:uiPriority w:val="59"/>
    <w:rsid w:val="001967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93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3937"/>
    <w:rPr>
      <w:rFonts w:ascii="Arial Narrow" w:hAnsi="Arial Narrow" w:cs="Times New Roman"/>
      <w:spacing w:val="-2"/>
      <w:kern w:val="22"/>
      <w:lang w:eastAsia="en-AU"/>
    </w:rPr>
  </w:style>
  <w:style w:type="paragraph" w:styleId="Footer">
    <w:name w:val="footer"/>
    <w:basedOn w:val="Normal"/>
    <w:link w:val="FooterChar"/>
    <w:uiPriority w:val="99"/>
    <w:unhideWhenUsed/>
    <w:rsid w:val="000239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3937"/>
    <w:rPr>
      <w:rFonts w:ascii="Arial Narrow" w:hAnsi="Arial Narrow" w:cs="Times New Roman"/>
      <w:spacing w:val="-2"/>
      <w:kern w:val="22"/>
      <w:lang w:eastAsia="en-AU"/>
    </w:rPr>
  </w:style>
  <w:style w:type="paragraph" w:styleId="ListParagraph">
    <w:name w:val="List Paragraph"/>
    <w:basedOn w:val="Normal"/>
    <w:uiPriority w:val="34"/>
    <w:qFormat/>
    <w:rsid w:val="00156809"/>
    <w:pPr>
      <w:ind w:left="720"/>
      <w:contextualSpacing/>
    </w:pPr>
  </w:style>
  <w:style w:type="paragraph" w:customStyle="1" w:styleId="Default">
    <w:name w:val="Default"/>
    <w:rsid w:val="006723E9"/>
    <w:pPr>
      <w:autoSpaceDE w:val="0"/>
      <w:autoSpaceDN w:val="0"/>
      <w:adjustRightInd w:val="0"/>
    </w:pPr>
    <w:rPr>
      <w:rFonts w:ascii="Arial" w:eastAsia="Calibri" w:hAnsi="Arial" w:cs="Arial"/>
      <w:color w:val="000000"/>
      <w:sz w:val="24"/>
      <w:szCs w:val="24"/>
      <w:lang w:eastAsia="en-US"/>
    </w:rPr>
  </w:style>
  <w:style w:type="paragraph" w:customStyle="1" w:styleId="chapterno">
    <w:name w:val="chapterno"/>
    <w:basedOn w:val="Normal"/>
    <w:rsid w:val="006723E9"/>
    <w:pPr>
      <w:spacing w:before="0" w:after="0" w:line="240" w:lineRule="auto"/>
      <w:jc w:val="left"/>
    </w:pPr>
    <w:rPr>
      <w:rFonts w:ascii="Times New Roman" w:hAnsi="Times New Roman"/>
      <w:spacing w:val="0"/>
      <w:kern w:val="0"/>
      <w:sz w:val="24"/>
      <w:szCs w:val="24"/>
    </w:rPr>
  </w:style>
  <w:style w:type="paragraph" w:styleId="EndnoteText">
    <w:name w:val="endnote text"/>
    <w:basedOn w:val="Normal"/>
    <w:link w:val="EndnoteTextChar"/>
    <w:uiPriority w:val="99"/>
    <w:semiHidden/>
    <w:unhideWhenUsed/>
    <w:rsid w:val="007869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8696A"/>
    <w:rPr>
      <w:rFonts w:ascii="Arial Narrow" w:hAnsi="Arial Narrow" w:cs="Times New Roman"/>
      <w:spacing w:val="-2"/>
      <w:kern w:val="22"/>
      <w:sz w:val="20"/>
      <w:szCs w:val="20"/>
      <w:lang w:eastAsia="en-AU"/>
    </w:rPr>
  </w:style>
  <w:style w:type="character" w:styleId="EndnoteReference">
    <w:name w:val="endnote reference"/>
    <w:basedOn w:val="DefaultParagraphFont"/>
    <w:uiPriority w:val="99"/>
    <w:semiHidden/>
    <w:unhideWhenUsed/>
    <w:rsid w:val="0078696A"/>
    <w:rPr>
      <w:vertAlign w:val="superscript"/>
    </w:rPr>
  </w:style>
  <w:style w:type="paragraph" w:styleId="BalloonText">
    <w:name w:val="Balloon Text"/>
    <w:basedOn w:val="Normal"/>
    <w:link w:val="BalloonTextChar"/>
    <w:uiPriority w:val="99"/>
    <w:semiHidden/>
    <w:unhideWhenUsed/>
    <w:rsid w:val="007869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6A"/>
    <w:rPr>
      <w:rFonts w:ascii="Tahoma" w:hAnsi="Tahoma" w:cs="Tahoma"/>
      <w:spacing w:val="-2"/>
      <w:kern w:val="22"/>
      <w:sz w:val="16"/>
      <w:szCs w:val="16"/>
      <w:lang w:eastAsia="en-AU"/>
    </w:rPr>
  </w:style>
  <w:style w:type="paragraph" w:styleId="FootnoteText">
    <w:name w:val="footnote text"/>
    <w:basedOn w:val="Normal"/>
    <w:link w:val="FootnoteTextChar"/>
    <w:uiPriority w:val="99"/>
    <w:unhideWhenUsed/>
    <w:rsid w:val="004B0C2A"/>
    <w:pPr>
      <w:spacing w:before="0" w:after="0" w:line="240" w:lineRule="auto"/>
      <w:jc w:val="left"/>
    </w:pPr>
    <w:rPr>
      <w:rFonts w:ascii="Calibri" w:eastAsia="Calibri" w:hAnsi="Calibri"/>
      <w:spacing w:val="0"/>
      <w:kern w:val="0"/>
      <w:sz w:val="20"/>
      <w:szCs w:val="20"/>
      <w:lang w:eastAsia="en-US"/>
    </w:rPr>
  </w:style>
  <w:style w:type="character" w:customStyle="1" w:styleId="FootnoteTextChar">
    <w:name w:val="Footnote Text Char"/>
    <w:basedOn w:val="DefaultParagraphFont"/>
    <w:link w:val="FootnoteText"/>
    <w:uiPriority w:val="99"/>
    <w:rsid w:val="004B0C2A"/>
    <w:rPr>
      <w:rFonts w:eastAsia="Calibri"/>
      <w:sz w:val="20"/>
      <w:szCs w:val="20"/>
    </w:rPr>
  </w:style>
  <w:style w:type="character" w:styleId="FootnoteReference">
    <w:name w:val="footnote reference"/>
    <w:basedOn w:val="DefaultParagraphFont"/>
    <w:uiPriority w:val="99"/>
    <w:semiHidden/>
    <w:unhideWhenUsed/>
    <w:rsid w:val="004B0C2A"/>
    <w:rPr>
      <w:vertAlign w:val="superscript"/>
    </w:rPr>
  </w:style>
  <w:style w:type="character" w:styleId="Hyperlink">
    <w:name w:val="Hyperlink"/>
    <w:basedOn w:val="DefaultParagraphFont"/>
    <w:uiPriority w:val="99"/>
    <w:unhideWhenUsed/>
    <w:rsid w:val="004B0C2A"/>
    <w:rPr>
      <w:strike w:val="0"/>
      <w:dstrike w:val="0"/>
      <w:color w:val="CD4900"/>
      <w:sz w:val="18"/>
      <w:szCs w:val="18"/>
      <w:u w:val="none"/>
      <w:effect w:val="none"/>
    </w:rPr>
  </w:style>
  <w:style w:type="paragraph" w:styleId="NormalWeb">
    <w:name w:val="Normal (Web)"/>
    <w:basedOn w:val="Normal"/>
    <w:uiPriority w:val="99"/>
    <w:unhideWhenUsed/>
    <w:rsid w:val="004B0C2A"/>
    <w:pPr>
      <w:spacing w:before="100" w:beforeAutospacing="1" w:after="100" w:afterAutospacing="1" w:line="240" w:lineRule="auto"/>
      <w:jc w:val="left"/>
    </w:pPr>
    <w:rPr>
      <w:rFonts w:ascii="Times New Roman" w:hAnsi="Times New Roman"/>
      <w:spacing w:val="0"/>
      <w:kern w:val="0"/>
      <w:sz w:val="24"/>
      <w:szCs w:val="24"/>
    </w:rPr>
  </w:style>
  <w:style w:type="paragraph" w:styleId="NoSpacing">
    <w:name w:val="No Spacing"/>
    <w:uiPriority w:val="1"/>
    <w:rsid w:val="00D806E6"/>
    <w:pPr>
      <w:jc w:val="both"/>
    </w:pPr>
    <w:rPr>
      <w:rFonts w:ascii="Arial Narrow" w:hAnsi="Arial Narrow"/>
      <w:spacing w:val="-2"/>
      <w:kern w:val="22"/>
      <w:sz w:val="22"/>
      <w:szCs w:val="22"/>
    </w:rPr>
  </w:style>
  <w:style w:type="paragraph" w:styleId="DocumentMap">
    <w:name w:val="Document Map"/>
    <w:basedOn w:val="Normal"/>
    <w:link w:val="DocumentMapChar"/>
    <w:uiPriority w:val="99"/>
    <w:semiHidden/>
    <w:unhideWhenUsed/>
    <w:rsid w:val="005672E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2E3"/>
    <w:rPr>
      <w:rFonts w:ascii="Tahoma" w:hAnsi="Tahoma" w:cs="Tahoma"/>
      <w:spacing w:val="-2"/>
      <w:kern w:val="22"/>
      <w:sz w:val="16"/>
      <w:szCs w:val="16"/>
      <w:lang w:eastAsia="en-AU"/>
    </w:rPr>
  </w:style>
  <w:style w:type="character" w:customStyle="1" w:styleId="Heading1Char">
    <w:name w:val="Heading 1 Char"/>
    <w:basedOn w:val="DefaultParagraphFont"/>
    <w:link w:val="Heading1"/>
    <w:uiPriority w:val="9"/>
    <w:rsid w:val="005672E3"/>
    <w:rPr>
      <w:rFonts w:ascii="Arial Narrow" w:hAnsi="Arial Narrow" w:cs="Times New Roman"/>
      <w:b/>
      <w:spacing w:val="-2"/>
      <w:kern w:val="22"/>
      <w:sz w:val="28"/>
      <w:szCs w:val="28"/>
      <w:lang w:eastAsia="en-AU"/>
    </w:rPr>
  </w:style>
  <w:style w:type="paragraph" w:styleId="TOCHeading">
    <w:name w:val="TOC Heading"/>
    <w:basedOn w:val="Heading1"/>
    <w:next w:val="Normal"/>
    <w:uiPriority w:val="39"/>
    <w:unhideWhenUsed/>
    <w:qFormat/>
    <w:rsid w:val="005672E3"/>
    <w:pPr>
      <w:outlineLvl w:val="9"/>
    </w:pPr>
    <w:rPr>
      <w:spacing w:val="0"/>
      <w:kern w:val="0"/>
      <w:lang w:val="en-US" w:eastAsia="en-US"/>
    </w:rPr>
  </w:style>
  <w:style w:type="paragraph" w:styleId="TOC2">
    <w:name w:val="toc 2"/>
    <w:basedOn w:val="Normal"/>
    <w:next w:val="Normal"/>
    <w:autoRedefine/>
    <w:uiPriority w:val="39"/>
    <w:unhideWhenUsed/>
    <w:qFormat/>
    <w:rsid w:val="00415615"/>
    <w:pPr>
      <w:tabs>
        <w:tab w:val="left" w:pos="993"/>
        <w:tab w:val="right" w:leader="dot" w:pos="8023"/>
      </w:tabs>
      <w:spacing w:before="0" w:after="100" w:line="276" w:lineRule="auto"/>
      <w:ind w:left="220"/>
      <w:jc w:val="left"/>
    </w:pPr>
    <w:rPr>
      <w:rFonts w:ascii="Calibri" w:hAnsi="Calibri"/>
      <w:spacing w:val="0"/>
      <w:kern w:val="0"/>
      <w:lang w:val="en-US" w:eastAsia="en-US"/>
    </w:rPr>
  </w:style>
  <w:style w:type="paragraph" w:styleId="TOC1">
    <w:name w:val="toc 1"/>
    <w:basedOn w:val="Normal"/>
    <w:next w:val="Normal"/>
    <w:autoRedefine/>
    <w:uiPriority w:val="39"/>
    <w:unhideWhenUsed/>
    <w:qFormat/>
    <w:rsid w:val="005672E3"/>
    <w:pPr>
      <w:spacing w:before="0" w:after="100" w:line="276" w:lineRule="auto"/>
      <w:jc w:val="left"/>
    </w:pPr>
    <w:rPr>
      <w:rFonts w:ascii="Calibri" w:hAnsi="Calibri"/>
      <w:spacing w:val="0"/>
      <w:kern w:val="0"/>
      <w:lang w:val="en-US" w:eastAsia="en-US"/>
    </w:rPr>
  </w:style>
  <w:style w:type="paragraph" w:styleId="TOC3">
    <w:name w:val="toc 3"/>
    <w:basedOn w:val="Normal"/>
    <w:next w:val="Normal"/>
    <w:autoRedefine/>
    <w:uiPriority w:val="39"/>
    <w:unhideWhenUsed/>
    <w:qFormat/>
    <w:rsid w:val="005672E3"/>
    <w:pPr>
      <w:spacing w:before="0" w:after="100" w:line="276" w:lineRule="auto"/>
      <w:ind w:left="440"/>
      <w:jc w:val="left"/>
    </w:pPr>
    <w:rPr>
      <w:rFonts w:ascii="Calibri" w:hAnsi="Calibri"/>
      <w:spacing w:val="0"/>
      <w:kern w:val="0"/>
      <w:lang w:val="en-US" w:eastAsia="en-US"/>
    </w:rPr>
  </w:style>
  <w:style w:type="character" w:customStyle="1" w:styleId="Heading2Char">
    <w:name w:val="Heading 2 Char"/>
    <w:basedOn w:val="DefaultParagraphFont"/>
    <w:link w:val="Heading2"/>
    <w:uiPriority w:val="9"/>
    <w:rsid w:val="005672E3"/>
    <w:rPr>
      <w:rFonts w:ascii="Arial Narrow" w:hAnsi="Arial Narrow" w:cs="Times New Roman"/>
      <w:b/>
      <w:spacing w:val="-2"/>
      <w:kern w:val="22"/>
      <w:lang w:eastAsia="en-AU"/>
    </w:rPr>
  </w:style>
  <w:style w:type="paragraph" w:styleId="Title">
    <w:name w:val="Title"/>
    <w:aliases w:val="Underlined heading"/>
    <w:basedOn w:val="Normal"/>
    <w:next w:val="Normal"/>
    <w:link w:val="TitleChar"/>
    <w:uiPriority w:val="10"/>
    <w:qFormat/>
    <w:rsid w:val="00DE2E88"/>
    <w:rPr>
      <w:u w:val="single"/>
    </w:rPr>
  </w:style>
  <w:style w:type="character" w:customStyle="1" w:styleId="TitleChar">
    <w:name w:val="Title Char"/>
    <w:aliases w:val="Underlined heading Char"/>
    <w:basedOn w:val="DefaultParagraphFont"/>
    <w:link w:val="Title"/>
    <w:uiPriority w:val="10"/>
    <w:rsid w:val="00DE2E88"/>
    <w:rPr>
      <w:rFonts w:ascii="Arial Narrow" w:hAnsi="Arial Narrow"/>
      <w:spacing w:val="-2"/>
      <w:kern w:val="22"/>
      <w:sz w:val="22"/>
      <w:szCs w:val="22"/>
      <w:u w:val="single"/>
    </w:rPr>
  </w:style>
  <w:style w:type="paragraph" w:styleId="Subtitle">
    <w:name w:val="Subtitle"/>
    <w:aliases w:val="Bullet point"/>
    <w:basedOn w:val="ListParagraph"/>
    <w:next w:val="Normal"/>
    <w:link w:val="SubtitleChar"/>
    <w:uiPriority w:val="99"/>
    <w:qFormat/>
    <w:rsid w:val="00E5674B"/>
    <w:pPr>
      <w:numPr>
        <w:numId w:val="1"/>
      </w:numPr>
    </w:pPr>
  </w:style>
  <w:style w:type="character" w:customStyle="1" w:styleId="SubtitleChar">
    <w:name w:val="Subtitle Char"/>
    <w:aliases w:val="Bullet point Char"/>
    <w:basedOn w:val="DefaultParagraphFont"/>
    <w:link w:val="Subtitle"/>
    <w:uiPriority w:val="99"/>
    <w:rsid w:val="00E5674B"/>
    <w:rPr>
      <w:rFonts w:ascii="Arial Narrow" w:hAnsi="Arial Narrow"/>
      <w:spacing w:val="-2"/>
      <w:kern w:val="22"/>
      <w:sz w:val="22"/>
      <w:szCs w:val="22"/>
    </w:rPr>
  </w:style>
  <w:style w:type="character" w:customStyle="1" w:styleId="Heading3Char">
    <w:name w:val="Heading 3 Char"/>
    <w:basedOn w:val="DefaultParagraphFont"/>
    <w:link w:val="Heading3"/>
    <w:uiPriority w:val="9"/>
    <w:rsid w:val="00DE2E88"/>
    <w:rPr>
      <w:rFonts w:ascii="Arial Narrow" w:hAnsi="Arial Narrow"/>
      <w:spacing w:val="-2"/>
      <w:kern w:val="22"/>
      <w:sz w:val="22"/>
      <w:szCs w:val="22"/>
      <w:u w:val="single"/>
    </w:rPr>
  </w:style>
  <w:style w:type="character" w:styleId="SubtleEmphasis">
    <w:name w:val="Subtle Emphasis"/>
    <w:aliases w:val="Table wording"/>
    <w:uiPriority w:val="19"/>
    <w:rsid w:val="005565B4"/>
    <w:rPr>
      <w:rFonts w:cs="Calibri"/>
      <w:color w:val="000000"/>
      <w:spacing w:val="0"/>
      <w:kern w:val="0"/>
      <w:lang w:eastAsia="en-US"/>
    </w:rPr>
  </w:style>
  <w:style w:type="character" w:styleId="Emphasis">
    <w:name w:val="Emphasis"/>
    <w:aliases w:val="Table heading"/>
    <w:uiPriority w:val="20"/>
    <w:rsid w:val="00374A23"/>
    <w:rPr>
      <w:rFonts w:cs="Calibri"/>
      <w:b/>
      <w:bCs/>
      <w:color w:val="000000"/>
    </w:rPr>
  </w:style>
  <w:style w:type="character" w:styleId="IntenseEmphasis">
    <w:name w:val="Intense Emphasis"/>
    <w:aliases w:val="Table heading centre"/>
    <w:uiPriority w:val="21"/>
    <w:rsid w:val="00374A23"/>
    <w:rPr>
      <w:rFonts w:cs="Calibri"/>
      <w:b/>
      <w:bCs/>
      <w:color w:val="000000"/>
    </w:rPr>
  </w:style>
  <w:style w:type="paragraph" w:styleId="TOC4">
    <w:name w:val="toc 4"/>
    <w:basedOn w:val="Normal"/>
    <w:next w:val="Normal"/>
    <w:autoRedefine/>
    <w:uiPriority w:val="39"/>
    <w:unhideWhenUsed/>
    <w:rsid w:val="0068747D"/>
    <w:pPr>
      <w:spacing w:before="0" w:after="100" w:line="276" w:lineRule="auto"/>
      <w:ind w:left="660"/>
      <w:jc w:val="left"/>
    </w:pPr>
    <w:rPr>
      <w:rFonts w:asciiTheme="minorHAnsi" w:eastAsiaTheme="minorEastAsia" w:hAnsiTheme="minorHAnsi" w:cstheme="minorBidi"/>
      <w:spacing w:val="0"/>
      <w:kern w:val="0"/>
    </w:rPr>
  </w:style>
  <w:style w:type="paragraph" w:styleId="TOC5">
    <w:name w:val="toc 5"/>
    <w:basedOn w:val="Normal"/>
    <w:next w:val="Normal"/>
    <w:autoRedefine/>
    <w:uiPriority w:val="39"/>
    <w:unhideWhenUsed/>
    <w:rsid w:val="0068747D"/>
    <w:pPr>
      <w:spacing w:before="0" w:after="100" w:line="276" w:lineRule="auto"/>
      <w:ind w:left="880"/>
      <w:jc w:val="left"/>
    </w:pPr>
    <w:rPr>
      <w:rFonts w:asciiTheme="minorHAnsi" w:eastAsiaTheme="minorEastAsia" w:hAnsiTheme="minorHAnsi" w:cstheme="minorBidi"/>
      <w:spacing w:val="0"/>
      <w:kern w:val="0"/>
    </w:rPr>
  </w:style>
  <w:style w:type="paragraph" w:styleId="TOC6">
    <w:name w:val="toc 6"/>
    <w:basedOn w:val="Normal"/>
    <w:next w:val="Normal"/>
    <w:autoRedefine/>
    <w:uiPriority w:val="39"/>
    <w:unhideWhenUsed/>
    <w:rsid w:val="0068747D"/>
    <w:pPr>
      <w:spacing w:before="0" w:after="100" w:line="276" w:lineRule="auto"/>
      <w:ind w:left="1100"/>
      <w:jc w:val="left"/>
    </w:pPr>
    <w:rPr>
      <w:rFonts w:asciiTheme="minorHAnsi" w:eastAsiaTheme="minorEastAsia" w:hAnsiTheme="minorHAnsi" w:cstheme="minorBidi"/>
      <w:spacing w:val="0"/>
      <w:kern w:val="0"/>
    </w:rPr>
  </w:style>
  <w:style w:type="paragraph" w:styleId="TOC7">
    <w:name w:val="toc 7"/>
    <w:basedOn w:val="Normal"/>
    <w:next w:val="Normal"/>
    <w:autoRedefine/>
    <w:uiPriority w:val="39"/>
    <w:unhideWhenUsed/>
    <w:rsid w:val="0068747D"/>
    <w:pPr>
      <w:spacing w:before="0" w:after="100" w:line="276" w:lineRule="auto"/>
      <w:ind w:left="1320"/>
      <w:jc w:val="left"/>
    </w:pPr>
    <w:rPr>
      <w:rFonts w:asciiTheme="minorHAnsi" w:eastAsiaTheme="minorEastAsia" w:hAnsiTheme="minorHAnsi" w:cstheme="minorBidi"/>
      <w:spacing w:val="0"/>
      <w:kern w:val="0"/>
    </w:rPr>
  </w:style>
  <w:style w:type="paragraph" w:styleId="TOC8">
    <w:name w:val="toc 8"/>
    <w:basedOn w:val="Normal"/>
    <w:next w:val="Normal"/>
    <w:autoRedefine/>
    <w:uiPriority w:val="39"/>
    <w:unhideWhenUsed/>
    <w:rsid w:val="0068747D"/>
    <w:pPr>
      <w:spacing w:before="0" w:after="100" w:line="276" w:lineRule="auto"/>
      <w:ind w:left="1540"/>
      <w:jc w:val="left"/>
    </w:pPr>
    <w:rPr>
      <w:rFonts w:asciiTheme="minorHAnsi" w:eastAsiaTheme="minorEastAsia" w:hAnsiTheme="minorHAnsi" w:cstheme="minorBidi"/>
      <w:spacing w:val="0"/>
      <w:kern w:val="0"/>
    </w:rPr>
  </w:style>
  <w:style w:type="paragraph" w:styleId="TOC9">
    <w:name w:val="toc 9"/>
    <w:basedOn w:val="Normal"/>
    <w:next w:val="Normal"/>
    <w:autoRedefine/>
    <w:uiPriority w:val="39"/>
    <w:unhideWhenUsed/>
    <w:rsid w:val="0068747D"/>
    <w:pPr>
      <w:spacing w:before="0" w:after="100" w:line="276" w:lineRule="auto"/>
      <w:ind w:left="1760"/>
      <w:jc w:val="left"/>
    </w:pPr>
    <w:rPr>
      <w:rFonts w:asciiTheme="minorHAnsi" w:eastAsiaTheme="minorEastAsia" w:hAnsiTheme="minorHAnsi" w:cstheme="minorBidi"/>
      <w:spacing w:val="0"/>
      <w:kern w:val="0"/>
    </w:rPr>
  </w:style>
  <w:style w:type="character" w:styleId="Strong">
    <w:name w:val="Strong"/>
    <w:basedOn w:val="DefaultParagraphFont"/>
    <w:uiPriority w:val="22"/>
    <w:qFormat/>
    <w:rsid w:val="005565B4"/>
    <w:rPr>
      <w:b/>
      <w:bCs/>
    </w:rPr>
  </w:style>
  <w:style w:type="paragraph" w:customStyle="1" w:styleId="Tabletext2">
    <w:name w:val="Table text2"/>
    <w:basedOn w:val="Normal"/>
    <w:link w:val="Tabletext2Char"/>
    <w:rsid w:val="005565B4"/>
    <w:pPr>
      <w:spacing w:before="40" w:after="40" w:line="240" w:lineRule="auto"/>
    </w:pPr>
  </w:style>
  <w:style w:type="paragraph" w:customStyle="1" w:styleId="Tabletext">
    <w:name w:val="Tabletext"/>
    <w:basedOn w:val="Tabletext2"/>
    <w:link w:val="TabletextChar"/>
    <w:qFormat/>
    <w:rsid w:val="00661024"/>
    <w:pPr>
      <w:jc w:val="left"/>
    </w:pPr>
  </w:style>
  <w:style w:type="paragraph" w:customStyle="1" w:styleId="TableHeading">
    <w:name w:val="TableHeading"/>
    <w:basedOn w:val="Tabletext"/>
    <w:next w:val="Tabletext2"/>
    <w:link w:val="TableHeadingChar"/>
    <w:autoRedefine/>
    <w:qFormat/>
    <w:rsid w:val="00490328"/>
    <w:pPr>
      <w:jc w:val="center"/>
    </w:pPr>
    <w:rPr>
      <w:b/>
      <w:bCs/>
    </w:rPr>
  </w:style>
  <w:style w:type="character" w:customStyle="1" w:styleId="Tabletext2Char">
    <w:name w:val="Table text2 Char"/>
    <w:basedOn w:val="DefaultParagraphFont"/>
    <w:link w:val="Tabletext2"/>
    <w:rsid w:val="00661024"/>
    <w:rPr>
      <w:rFonts w:ascii="Arial Narrow" w:hAnsi="Arial Narrow"/>
      <w:spacing w:val="-2"/>
      <w:kern w:val="22"/>
      <w:sz w:val="22"/>
      <w:szCs w:val="22"/>
    </w:rPr>
  </w:style>
  <w:style w:type="character" w:customStyle="1" w:styleId="TabletextChar">
    <w:name w:val="Tabletext Char"/>
    <w:basedOn w:val="Tabletext2Char"/>
    <w:link w:val="Tabletext"/>
    <w:rsid w:val="00661024"/>
    <w:rPr>
      <w:rFonts w:ascii="Arial Narrow" w:hAnsi="Arial Narrow"/>
      <w:spacing w:val="-2"/>
      <w:kern w:val="22"/>
      <w:sz w:val="22"/>
      <w:szCs w:val="22"/>
    </w:rPr>
  </w:style>
  <w:style w:type="character" w:customStyle="1" w:styleId="TableHeadingChar">
    <w:name w:val="TableHeading Char"/>
    <w:basedOn w:val="TabletextChar"/>
    <w:link w:val="TableHeading"/>
    <w:rsid w:val="00490328"/>
    <w:rPr>
      <w:rFonts w:ascii="Arial Narrow" w:hAnsi="Arial Narrow"/>
      <w:b/>
      <w:bCs/>
      <w:spacing w:val="-2"/>
      <w:kern w:val="22"/>
      <w:sz w:val="22"/>
      <w:szCs w:val="22"/>
    </w:rPr>
  </w:style>
  <w:style w:type="paragraph" w:customStyle="1" w:styleId="TableNumbers">
    <w:name w:val="TableNumbers"/>
    <w:basedOn w:val="Tabletext"/>
    <w:link w:val="TableNumbersChar"/>
    <w:qFormat/>
    <w:rsid w:val="00661024"/>
    <w:pPr>
      <w:jc w:val="center"/>
    </w:pPr>
  </w:style>
  <w:style w:type="character" w:customStyle="1" w:styleId="TableNumbersChar">
    <w:name w:val="TableNumbers Char"/>
    <w:basedOn w:val="TabletextChar"/>
    <w:link w:val="TableNumbers"/>
    <w:rsid w:val="00661024"/>
    <w:rPr>
      <w:rFonts w:ascii="Arial Narrow" w:hAnsi="Arial Narrow"/>
      <w:spacing w:val="-2"/>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013">
      <w:bodyDiv w:val="1"/>
      <w:marLeft w:val="0"/>
      <w:marRight w:val="0"/>
      <w:marTop w:val="0"/>
      <w:marBottom w:val="0"/>
      <w:divBdr>
        <w:top w:val="none" w:sz="0" w:space="0" w:color="auto"/>
        <w:left w:val="none" w:sz="0" w:space="0" w:color="auto"/>
        <w:bottom w:val="none" w:sz="0" w:space="0" w:color="auto"/>
        <w:right w:val="none" w:sz="0" w:space="0" w:color="auto"/>
      </w:divBdr>
    </w:div>
    <w:div w:id="33114565">
      <w:bodyDiv w:val="1"/>
      <w:marLeft w:val="0"/>
      <w:marRight w:val="0"/>
      <w:marTop w:val="0"/>
      <w:marBottom w:val="0"/>
      <w:divBdr>
        <w:top w:val="none" w:sz="0" w:space="0" w:color="auto"/>
        <w:left w:val="none" w:sz="0" w:space="0" w:color="auto"/>
        <w:bottom w:val="none" w:sz="0" w:space="0" w:color="auto"/>
        <w:right w:val="none" w:sz="0" w:space="0" w:color="auto"/>
      </w:divBdr>
    </w:div>
    <w:div w:id="54283211">
      <w:bodyDiv w:val="1"/>
      <w:marLeft w:val="0"/>
      <w:marRight w:val="0"/>
      <w:marTop w:val="0"/>
      <w:marBottom w:val="0"/>
      <w:divBdr>
        <w:top w:val="none" w:sz="0" w:space="0" w:color="auto"/>
        <w:left w:val="none" w:sz="0" w:space="0" w:color="auto"/>
        <w:bottom w:val="none" w:sz="0" w:space="0" w:color="auto"/>
        <w:right w:val="none" w:sz="0" w:space="0" w:color="auto"/>
      </w:divBdr>
    </w:div>
    <w:div w:id="102893109">
      <w:bodyDiv w:val="1"/>
      <w:marLeft w:val="0"/>
      <w:marRight w:val="0"/>
      <w:marTop w:val="0"/>
      <w:marBottom w:val="0"/>
      <w:divBdr>
        <w:top w:val="none" w:sz="0" w:space="0" w:color="auto"/>
        <w:left w:val="none" w:sz="0" w:space="0" w:color="auto"/>
        <w:bottom w:val="none" w:sz="0" w:space="0" w:color="auto"/>
        <w:right w:val="none" w:sz="0" w:space="0" w:color="auto"/>
      </w:divBdr>
    </w:div>
    <w:div w:id="250896777">
      <w:bodyDiv w:val="1"/>
      <w:marLeft w:val="0"/>
      <w:marRight w:val="0"/>
      <w:marTop w:val="0"/>
      <w:marBottom w:val="0"/>
      <w:divBdr>
        <w:top w:val="none" w:sz="0" w:space="0" w:color="auto"/>
        <w:left w:val="none" w:sz="0" w:space="0" w:color="auto"/>
        <w:bottom w:val="none" w:sz="0" w:space="0" w:color="auto"/>
        <w:right w:val="none" w:sz="0" w:space="0" w:color="auto"/>
      </w:divBdr>
    </w:div>
    <w:div w:id="261453217">
      <w:bodyDiv w:val="1"/>
      <w:marLeft w:val="0"/>
      <w:marRight w:val="0"/>
      <w:marTop w:val="0"/>
      <w:marBottom w:val="0"/>
      <w:divBdr>
        <w:top w:val="none" w:sz="0" w:space="0" w:color="auto"/>
        <w:left w:val="none" w:sz="0" w:space="0" w:color="auto"/>
        <w:bottom w:val="none" w:sz="0" w:space="0" w:color="auto"/>
        <w:right w:val="none" w:sz="0" w:space="0" w:color="auto"/>
      </w:divBdr>
    </w:div>
    <w:div w:id="286281569">
      <w:bodyDiv w:val="1"/>
      <w:marLeft w:val="0"/>
      <w:marRight w:val="0"/>
      <w:marTop w:val="0"/>
      <w:marBottom w:val="0"/>
      <w:divBdr>
        <w:top w:val="none" w:sz="0" w:space="0" w:color="auto"/>
        <w:left w:val="none" w:sz="0" w:space="0" w:color="auto"/>
        <w:bottom w:val="none" w:sz="0" w:space="0" w:color="auto"/>
        <w:right w:val="none" w:sz="0" w:space="0" w:color="auto"/>
      </w:divBdr>
    </w:div>
    <w:div w:id="415710271">
      <w:bodyDiv w:val="1"/>
      <w:marLeft w:val="0"/>
      <w:marRight w:val="0"/>
      <w:marTop w:val="0"/>
      <w:marBottom w:val="0"/>
      <w:divBdr>
        <w:top w:val="none" w:sz="0" w:space="0" w:color="auto"/>
        <w:left w:val="none" w:sz="0" w:space="0" w:color="auto"/>
        <w:bottom w:val="none" w:sz="0" w:space="0" w:color="auto"/>
        <w:right w:val="none" w:sz="0" w:space="0" w:color="auto"/>
      </w:divBdr>
    </w:div>
    <w:div w:id="741215877">
      <w:bodyDiv w:val="1"/>
      <w:marLeft w:val="0"/>
      <w:marRight w:val="0"/>
      <w:marTop w:val="0"/>
      <w:marBottom w:val="0"/>
      <w:divBdr>
        <w:top w:val="none" w:sz="0" w:space="0" w:color="auto"/>
        <w:left w:val="none" w:sz="0" w:space="0" w:color="auto"/>
        <w:bottom w:val="none" w:sz="0" w:space="0" w:color="auto"/>
        <w:right w:val="none" w:sz="0" w:space="0" w:color="auto"/>
      </w:divBdr>
    </w:div>
    <w:div w:id="762264113">
      <w:bodyDiv w:val="1"/>
      <w:marLeft w:val="0"/>
      <w:marRight w:val="0"/>
      <w:marTop w:val="0"/>
      <w:marBottom w:val="0"/>
      <w:divBdr>
        <w:top w:val="none" w:sz="0" w:space="0" w:color="auto"/>
        <w:left w:val="none" w:sz="0" w:space="0" w:color="auto"/>
        <w:bottom w:val="none" w:sz="0" w:space="0" w:color="auto"/>
        <w:right w:val="none" w:sz="0" w:space="0" w:color="auto"/>
      </w:divBdr>
    </w:div>
    <w:div w:id="823352416">
      <w:bodyDiv w:val="1"/>
      <w:marLeft w:val="0"/>
      <w:marRight w:val="0"/>
      <w:marTop w:val="0"/>
      <w:marBottom w:val="0"/>
      <w:divBdr>
        <w:top w:val="none" w:sz="0" w:space="0" w:color="auto"/>
        <w:left w:val="none" w:sz="0" w:space="0" w:color="auto"/>
        <w:bottom w:val="none" w:sz="0" w:space="0" w:color="auto"/>
        <w:right w:val="none" w:sz="0" w:space="0" w:color="auto"/>
      </w:divBdr>
    </w:div>
    <w:div w:id="1020622353">
      <w:bodyDiv w:val="1"/>
      <w:marLeft w:val="0"/>
      <w:marRight w:val="0"/>
      <w:marTop w:val="0"/>
      <w:marBottom w:val="0"/>
      <w:divBdr>
        <w:top w:val="none" w:sz="0" w:space="0" w:color="auto"/>
        <w:left w:val="none" w:sz="0" w:space="0" w:color="auto"/>
        <w:bottom w:val="none" w:sz="0" w:space="0" w:color="auto"/>
        <w:right w:val="none" w:sz="0" w:space="0" w:color="auto"/>
      </w:divBdr>
    </w:div>
    <w:div w:id="1051733012">
      <w:bodyDiv w:val="1"/>
      <w:marLeft w:val="0"/>
      <w:marRight w:val="0"/>
      <w:marTop w:val="0"/>
      <w:marBottom w:val="0"/>
      <w:divBdr>
        <w:top w:val="none" w:sz="0" w:space="0" w:color="auto"/>
        <w:left w:val="none" w:sz="0" w:space="0" w:color="auto"/>
        <w:bottom w:val="none" w:sz="0" w:space="0" w:color="auto"/>
        <w:right w:val="none" w:sz="0" w:space="0" w:color="auto"/>
      </w:divBdr>
    </w:div>
    <w:div w:id="1157766911">
      <w:bodyDiv w:val="1"/>
      <w:marLeft w:val="0"/>
      <w:marRight w:val="0"/>
      <w:marTop w:val="0"/>
      <w:marBottom w:val="0"/>
      <w:divBdr>
        <w:top w:val="none" w:sz="0" w:space="0" w:color="auto"/>
        <w:left w:val="none" w:sz="0" w:space="0" w:color="auto"/>
        <w:bottom w:val="none" w:sz="0" w:space="0" w:color="auto"/>
        <w:right w:val="none" w:sz="0" w:space="0" w:color="auto"/>
      </w:divBdr>
    </w:div>
    <w:div w:id="1365444865">
      <w:bodyDiv w:val="1"/>
      <w:marLeft w:val="0"/>
      <w:marRight w:val="0"/>
      <w:marTop w:val="0"/>
      <w:marBottom w:val="0"/>
      <w:divBdr>
        <w:top w:val="none" w:sz="0" w:space="0" w:color="auto"/>
        <w:left w:val="none" w:sz="0" w:space="0" w:color="auto"/>
        <w:bottom w:val="none" w:sz="0" w:space="0" w:color="auto"/>
        <w:right w:val="none" w:sz="0" w:space="0" w:color="auto"/>
      </w:divBdr>
    </w:div>
    <w:div w:id="1426995594">
      <w:bodyDiv w:val="1"/>
      <w:marLeft w:val="0"/>
      <w:marRight w:val="0"/>
      <w:marTop w:val="0"/>
      <w:marBottom w:val="0"/>
      <w:divBdr>
        <w:top w:val="none" w:sz="0" w:space="0" w:color="auto"/>
        <w:left w:val="none" w:sz="0" w:space="0" w:color="auto"/>
        <w:bottom w:val="none" w:sz="0" w:space="0" w:color="auto"/>
        <w:right w:val="none" w:sz="0" w:space="0" w:color="auto"/>
      </w:divBdr>
    </w:div>
    <w:div w:id="1462572545">
      <w:bodyDiv w:val="1"/>
      <w:marLeft w:val="0"/>
      <w:marRight w:val="0"/>
      <w:marTop w:val="0"/>
      <w:marBottom w:val="0"/>
      <w:divBdr>
        <w:top w:val="none" w:sz="0" w:space="0" w:color="auto"/>
        <w:left w:val="none" w:sz="0" w:space="0" w:color="auto"/>
        <w:bottom w:val="none" w:sz="0" w:space="0" w:color="auto"/>
        <w:right w:val="none" w:sz="0" w:space="0" w:color="auto"/>
      </w:divBdr>
    </w:div>
    <w:div w:id="1718121655">
      <w:bodyDiv w:val="1"/>
      <w:marLeft w:val="0"/>
      <w:marRight w:val="0"/>
      <w:marTop w:val="0"/>
      <w:marBottom w:val="0"/>
      <w:divBdr>
        <w:top w:val="none" w:sz="0" w:space="0" w:color="auto"/>
        <w:left w:val="none" w:sz="0" w:space="0" w:color="auto"/>
        <w:bottom w:val="none" w:sz="0" w:space="0" w:color="auto"/>
        <w:right w:val="none" w:sz="0" w:space="0" w:color="auto"/>
      </w:divBdr>
    </w:div>
    <w:div w:id="1724258026">
      <w:bodyDiv w:val="1"/>
      <w:marLeft w:val="0"/>
      <w:marRight w:val="0"/>
      <w:marTop w:val="0"/>
      <w:marBottom w:val="0"/>
      <w:divBdr>
        <w:top w:val="none" w:sz="0" w:space="0" w:color="auto"/>
        <w:left w:val="none" w:sz="0" w:space="0" w:color="auto"/>
        <w:bottom w:val="none" w:sz="0" w:space="0" w:color="auto"/>
        <w:right w:val="none" w:sz="0" w:space="0" w:color="auto"/>
      </w:divBdr>
    </w:div>
    <w:div w:id="1742747771">
      <w:bodyDiv w:val="1"/>
      <w:marLeft w:val="0"/>
      <w:marRight w:val="0"/>
      <w:marTop w:val="0"/>
      <w:marBottom w:val="0"/>
      <w:divBdr>
        <w:top w:val="none" w:sz="0" w:space="0" w:color="auto"/>
        <w:left w:val="none" w:sz="0" w:space="0" w:color="auto"/>
        <w:bottom w:val="none" w:sz="0" w:space="0" w:color="auto"/>
        <w:right w:val="none" w:sz="0" w:space="0" w:color="auto"/>
      </w:divBdr>
    </w:div>
    <w:div w:id="1818914931">
      <w:bodyDiv w:val="1"/>
      <w:marLeft w:val="0"/>
      <w:marRight w:val="0"/>
      <w:marTop w:val="0"/>
      <w:marBottom w:val="0"/>
      <w:divBdr>
        <w:top w:val="none" w:sz="0" w:space="0" w:color="auto"/>
        <w:left w:val="none" w:sz="0" w:space="0" w:color="auto"/>
        <w:bottom w:val="none" w:sz="0" w:space="0" w:color="auto"/>
        <w:right w:val="none" w:sz="0" w:space="0" w:color="auto"/>
      </w:divBdr>
    </w:div>
    <w:div w:id="1818960638">
      <w:bodyDiv w:val="1"/>
      <w:marLeft w:val="0"/>
      <w:marRight w:val="0"/>
      <w:marTop w:val="0"/>
      <w:marBottom w:val="0"/>
      <w:divBdr>
        <w:top w:val="none" w:sz="0" w:space="0" w:color="auto"/>
        <w:left w:val="none" w:sz="0" w:space="0" w:color="auto"/>
        <w:bottom w:val="none" w:sz="0" w:space="0" w:color="auto"/>
        <w:right w:val="none" w:sz="0" w:space="0" w:color="auto"/>
      </w:divBdr>
    </w:div>
    <w:div w:id="2054645879">
      <w:bodyDiv w:val="1"/>
      <w:marLeft w:val="0"/>
      <w:marRight w:val="0"/>
      <w:marTop w:val="0"/>
      <w:marBottom w:val="0"/>
      <w:divBdr>
        <w:top w:val="none" w:sz="0" w:space="0" w:color="auto"/>
        <w:left w:val="none" w:sz="0" w:space="0" w:color="auto"/>
        <w:bottom w:val="none" w:sz="0" w:space="0" w:color="auto"/>
        <w:right w:val="none" w:sz="0" w:space="0" w:color="auto"/>
      </w:divBdr>
    </w:div>
    <w:div w:id="2120447581">
      <w:bodyDiv w:val="1"/>
      <w:marLeft w:val="0"/>
      <w:marRight w:val="0"/>
      <w:marTop w:val="0"/>
      <w:marBottom w:val="0"/>
      <w:divBdr>
        <w:top w:val="none" w:sz="0" w:space="0" w:color="auto"/>
        <w:left w:val="none" w:sz="0" w:space="0" w:color="auto"/>
        <w:bottom w:val="none" w:sz="0" w:space="0" w:color="auto"/>
        <w:right w:val="none" w:sz="0" w:space="0" w:color="auto"/>
      </w:divBdr>
    </w:div>
    <w:div w:id="2121996722">
      <w:bodyDiv w:val="1"/>
      <w:marLeft w:val="0"/>
      <w:marRight w:val="0"/>
      <w:marTop w:val="0"/>
      <w:marBottom w:val="0"/>
      <w:divBdr>
        <w:top w:val="none" w:sz="0" w:space="0" w:color="auto"/>
        <w:left w:val="none" w:sz="0" w:space="0" w:color="auto"/>
        <w:bottom w:val="none" w:sz="0" w:space="0" w:color="auto"/>
        <w:right w:val="none" w:sz="0" w:space="0" w:color="auto"/>
      </w:divBdr>
    </w:div>
    <w:div w:id="2142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hart" Target="charts/chart1.xml"/><Relationship Id="rId39" Type="http://schemas.openxmlformats.org/officeDocument/2006/relationships/hyperlink" Target="http://en.wikipedia.org/wiki/Interest" TargetMode="Externa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chart" Target="charts/chart9.xml"/><Relationship Id="rId42" Type="http://schemas.openxmlformats.org/officeDocument/2006/relationships/hyperlink" Target="http://en.wikipedia.org/wiki/Amortization_(tax_law)"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33" Type="http://schemas.openxmlformats.org/officeDocument/2006/relationships/chart" Target="charts/chart8.xml"/><Relationship Id="rId38" Type="http://schemas.openxmlformats.org/officeDocument/2006/relationships/hyperlink" Target="http://en.wikipedia.org/wiki/Profit_(account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chart" Target="charts/chart4.xml"/><Relationship Id="rId41" Type="http://schemas.openxmlformats.org/officeDocument/2006/relationships/hyperlink" Target="http://en.wikipedia.org/wiki/Depreci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chart" Target="charts/chart7.xml"/><Relationship Id="rId37" Type="http://schemas.openxmlformats.org/officeDocument/2006/relationships/hyperlink" Target="http://en.wikipedia.org/wiki/Acronym" TargetMode="External"/><Relationship Id="rId40" Type="http://schemas.openxmlformats.org/officeDocument/2006/relationships/hyperlink" Target="http://en.wikipedia.org/wiki/Taxes"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chart" Target="charts/chart3.xml"/><Relationship Id="rId36" Type="http://schemas.openxmlformats.org/officeDocument/2006/relationships/hyperlink" Target="http://useconomy.about.com/od/glossary/g/Banking.htm"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chart" Target="charts/chart6.xm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www.lanecove.nsw.gov.au/Council%20Services/Development%20Control/Development%20Controls/Contributions%20Plans/documents/SECTION94PLANinclamendmentsof160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c287.tcorpad.nsw.gov.au\CorFin$\Local%20Councils\0%20Benchmarking\Benchmark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AU" sz="1100" b="0" u="sng"/>
              <a:t>Figure 14 - Operating Ratio Comparison</a:t>
            </a:r>
          </a:p>
        </c:rich>
      </c:tx>
      <c:layout>
        <c:manualLayout>
          <c:xMode val="edge"/>
          <c:yMode val="edge"/>
          <c:x val="1.4860017497813473E-3"/>
          <c:y val="2.7777777777780496E-2"/>
        </c:manualLayout>
      </c:layout>
      <c:overlay val="0"/>
    </c:title>
    <c:autoTitleDeleted val="0"/>
    <c:plotArea>
      <c:layout/>
      <c:lineChart>
        <c:grouping val="standard"/>
        <c:varyColors val="0"/>
        <c:ser>
          <c:idx val="0"/>
          <c:order val="0"/>
          <c:tx>
            <c:strRef>
              <c:f>'Group 10'!$A$31</c:f>
              <c:strCache>
                <c:ptCount val="1"/>
                <c:pt idx="0">
                  <c:v>Benchmark</c:v>
                </c:pt>
              </c:strCache>
            </c:strRef>
          </c:tx>
          <c:spPr>
            <a:ln>
              <a:solidFill>
                <a:srgbClr val="C2121D"/>
              </a:solidFill>
              <a:prstDash val="sysDash"/>
            </a:ln>
          </c:spPr>
          <c:marker>
            <c:symbol val="none"/>
          </c:marker>
          <c:cat>
            <c:numRef>
              <c:f>'Group 10'!$E$30:$I$30</c:f>
              <c:numCache>
                <c:formatCode>General</c:formatCode>
                <c:ptCount val="5"/>
                <c:pt idx="0">
                  <c:v>2009</c:v>
                </c:pt>
                <c:pt idx="1">
                  <c:v>2010</c:v>
                </c:pt>
                <c:pt idx="2">
                  <c:v>2011</c:v>
                </c:pt>
                <c:pt idx="3">
                  <c:v>2012</c:v>
                </c:pt>
                <c:pt idx="4">
                  <c:v>2016</c:v>
                </c:pt>
              </c:numCache>
            </c:numRef>
          </c:cat>
          <c:val>
            <c:numRef>
              <c:f>'Group 10'!$E$31:$I$31</c:f>
              <c:numCache>
                <c:formatCode>0.0%;\(0.0%\);0.0%</c:formatCode>
                <c:ptCount val="5"/>
                <c:pt idx="0">
                  <c:v>-0.04</c:v>
                </c:pt>
                <c:pt idx="1">
                  <c:v>-0.04</c:v>
                </c:pt>
                <c:pt idx="2">
                  <c:v>-0.04</c:v>
                </c:pt>
                <c:pt idx="3">
                  <c:v>-0.04</c:v>
                </c:pt>
                <c:pt idx="4">
                  <c:v>-0.04</c:v>
                </c:pt>
              </c:numCache>
            </c:numRef>
          </c:val>
          <c:smooth val="0"/>
        </c:ser>
        <c:ser>
          <c:idx val="1"/>
          <c:order val="1"/>
          <c:tx>
            <c:strRef>
              <c:f>'Group 10'!$A$32</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10'!$E$30:$I$30</c:f>
              <c:numCache>
                <c:formatCode>General</c:formatCode>
                <c:ptCount val="5"/>
                <c:pt idx="0">
                  <c:v>2009</c:v>
                </c:pt>
                <c:pt idx="1">
                  <c:v>2010</c:v>
                </c:pt>
                <c:pt idx="2">
                  <c:v>2011</c:v>
                </c:pt>
                <c:pt idx="3">
                  <c:v>2012</c:v>
                </c:pt>
                <c:pt idx="4">
                  <c:v>2016</c:v>
                </c:pt>
              </c:numCache>
            </c:numRef>
          </c:cat>
          <c:val>
            <c:numRef>
              <c:f>'Group 10'!$E$32:$I$32</c:f>
              <c:numCache>
                <c:formatCode>0.0%;\(0.0%\);0.0%</c:formatCode>
                <c:ptCount val="5"/>
                <c:pt idx="0">
                  <c:v>0.12421799419542083</c:v>
                </c:pt>
                <c:pt idx="1">
                  <c:v>0.15319148936170213</c:v>
                </c:pt>
                <c:pt idx="2">
                  <c:v>-5.9202436025062949E-2</c:v>
                </c:pt>
                <c:pt idx="3">
                  <c:v>4.482501861504095E-2</c:v>
                </c:pt>
                <c:pt idx="4">
                  <c:v>-7.5753293006953475E-3</c:v>
                </c:pt>
              </c:numCache>
            </c:numRef>
          </c:val>
          <c:smooth val="0"/>
        </c:ser>
        <c:ser>
          <c:idx val="2"/>
          <c:order val="2"/>
          <c:tx>
            <c:strRef>
              <c:f>'Group 10'!$A$33</c:f>
              <c:strCache>
                <c:ptCount val="1"/>
                <c:pt idx="0">
                  <c:v>Average</c:v>
                </c:pt>
              </c:strCache>
            </c:strRef>
          </c:tx>
          <c:spPr>
            <a:ln>
              <a:solidFill>
                <a:srgbClr val="3975EB"/>
              </a:solidFill>
            </a:ln>
          </c:spPr>
          <c:marker>
            <c:symbol val="none"/>
          </c:marker>
          <c:dPt>
            <c:idx val="4"/>
            <c:marker>
              <c:symbol val="diamond"/>
              <c:size val="7"/>
              <c:spPr>
                <a:solidFill>
                  <a:srgbClr val="3975EB"/>
                </a:solidFill>
              </c:spPr>
            </c:marker>
            <c:bubble3D val="0"/>
            <c:spPr>
              <a:ln>
                <a:noFill/>
              </a:ln>
            </c:spPr>
          </c:dPt>
          <c:cat>
            <c:numRef>
              <c:f>'Group 10'!$E$30:$I$30</c:f>
              <c:numCache>
                <c:formatCode>General</c:formatCode>
                <c:ptCount val="5"/>
                <c:pt idx="0">
                  <c:v>2009</c:v>
                </c:pt>
                <c:pt idx="1">
                  <c:v>2010</c:v>
                </c:pt>
                <c:pt idx="2">
                  <c:v>2011</c:v>
                </c:pt>
                <c:pt idx="3">
                  <c:v>2012</c:v>
                </c:pt>
                <c:pt idx="4">
                  <c:v>2016</c:v>
                </c:pt>
              </c:numCache>
            </c:numRef>
          </c:cat>
          <c:val>
            <c:numRef>
              <c:f>'Group 10'!$E$33:$I$33</c:f>
              <c:numCache>
                <c:formatCode>0.0%;\(0.0%\);0.0%</c:formatCode>
                <c:ptCount val="5"/>
                <c:pt idx="0">
                  <c:v>4.4793158180673094E-3</c:v>
                </c:pt>
                <c:pt idx="1">
                  <c:v>-3.5581091661169857E-2</c:v>
                </c:pt>
                <c:pt idx="2">
                  <c:v>-9.4776720930704647E-2</c:v>
                </c:pt>
                <c:pt idx="3">
                  <c:v>-4.9211678891738664E-2</c:v>
                </c:pt>
                <c:pt idx="4">
                  <c:v>-6.6631355034958289E-2</c:v>
                </c:pt>
              </c:numCache>
            </c:numRef>
          </c:val>
          <c:smooth val="0"/>
        </c:ser>
        <c:ser>
          <c:idx val="3"/>
          <c:order val="3"/>
          <c:tx>
            <c:strRef>
              <c:f>'Group 10'!$A$34</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c:spPr>
            </c:marker>
            <c:bubble3D val="0"/>
            <c:spPr>
              <a:ln>
                <a:noFill/>
              </a:ln>
            </c:spPr>
          </c:dPt>
          <c:cat>
            <c:numRef>
              <c:f>'Group 10'!$E$30:$I$30</c:f>
              <c:numCache>
                <c:formatCode>General</c:formatCode>
                <c:ptCount val="5"/>
                <c:pt idx="0">
                  <c:v>2009</c:v>
                </c:pt>
                <c:pt idx="1">
                  <c:v>2010</c:v>
                </c:pt>
                <c:pt idx="2">
                  <c:v>2011</c:v>
                </c:pt>
                <c:pt idx="3">
                  <c:v>2012</c:v>
                </c:pt>
                <c:pt idx="4">
                  <c:v>2016</c:v>
                </c:pt>
              </c:numCache>
            </c:numRef>
          </c:cat>
          <c:val>
            <c:numRef>
              <c:f>'Group 10'!$E$34:$I$34</c:f>
              <c:numCache>
                <c:formatCode>0.0%;\(0.0%\);0.0%</c:formatCode>
                <c:ptCount val="5"/>
                <c:pt idx="0">
                  <c:v>-0.39173208278111937</c:v>
                </c:pt>
                <c:pt idx="1">
                  <c:v>-0.28563698967043777</c:v>
                </c:pt>
                <c:pt idx="2">
                  <c:v>-0.25517272400143937</c:v>
                </c:pt>
                <c:pt idx="3">
                  <c:v>-0.30855939551591727</c:v>
                </c:pt>
                <c:pt idx="4">
                  <c:v>-0.26335705919452201</c:v>
                </c:pt>
              </c:numCache>
            </c:numRef>
          </c:val>
          <c:smooth val="0"/>
        </c:ser>
        <c:dLbls>
          <c:showLegendKey val="0"/>
          <c:showVal val="0"/>
          <c:showCatName val="0"/>
          <c:showSerName val="0"/>
          <c:showPercent val="0"/>
          <c:showBubbleSize val="0"/>
        </c:dLbls>
        <c:marker val="1"/>
        <c:smooth val="0"/>
        <c:axId val="46518272"/>
        <c:axId val="46519808"/>
      </c:lineChart>
      <c:catAx>
        <c:axId val="46518272"/>
        <c:scaling>
          <c:orientation val="minMax"/>
        </c:scaling>
        <c:delete val="0"/>
        <c:axPos val="b"/>
        <c:numFmt formatCode="General" sourceLinked="1"/>
        <c:majorTickMark val="out"/>
        <c:minorTickMark val="none"/>
        <c:tickLblPos val="nextTo"/>
        <c:spPr>
          <a:ln>
            <a:solidFill>
              <a:srgbClr val="92B3F4"/>
            </a:solidFill>
          </a:ln>
        </c:spPr>
        <c:crossAx val="46519808"/>
        <c:crosses val="autoZero"/>
        <c:auto val="1"/>
        <c:lblAlgn val="ctr"/>
        <c:lblOffset val="100"/>
        <c:noMultiLvlLbl val="0"/>
      </c:catAx>
      <c:valAx>
        <c:axId val="46519808"/>
        <c:scaling>
          <c:orientation val="minMax"/>
        </c:scaling>
        <c:delete val="0"/>
        <c:axPos val="l"/>
        <c:majorGridlines/>
        <c:numFmt formatCode="0.0%;\(0.0%\);0.0%" sourceLinked="1"/>
        <c:majorTickMark val="out"/>
        <c:minorTickMark val="none"/>
        <c:tickLblPos val="nextTo"/>
        <c:crossAx val="46518272"/>
        <c:crosses val="autoZero"/>
        <c:crossBetween val="between"/>
      </c:valAx>
    </c:plotArea>
    <c:legend>
      <c:legendPos val="b"/>
      <c:overlay val="0"/>
    </c:legend>
    <c:plotVisOnly val="1"/>
    <c:dispBlanksAs val="gap"/>
    <c:showDLblsOverMax val="0"/>
  </c:chart>
  <c:txPr>
    <a:bodyPr/>
    <a:lstStyle/>
    <a:p>
      <a:pPr>
        <a:defRPr>
          <a:latin typeface="Arial Narrow"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23 - Building and Infrastructure Asset Renewal Ratio</a:t>
            </a:r>
          </a:p>
        </c:rich>
      </c:tx>
      <c:layout>
        <c:manualLayout>
          <c:xMode val="edge"/>
          <c:yMode val="edge"/>
          <c:x val="5.0000000000000034E-4"/>
          <c:y val="3.2407407407409529E-2"/>
        </c:manualLayout>
      </c:layout>
      <c:overlay val="0"/>
    </c:title>
    <c:autoTitleDeleted val="0"/>
    <c:plotArea>
      <c:layout/>
      <c:lineChart>
        <c:grouping val="standard"/>
        <c:varyColors val="0"/>
        <c:ser>
          <c:idx val="0"/>
          <c:order val="0"/>
          <c:tx>
            <c:strRef>
              <c:f>'Group 10'!$A$328</c:f>
              <c:strCache>
                <c:ptCount val="1"/>
                <c:pt idx="0">
                  <c:v>Benchmark</c:v>
                </c:pt>
              </c:strCache>
            </c:strRef>
          </c:tx>
          <c:spPr>
            <a:ln>
              <a:solidFill>
                <a:srgbClr val="C2121D"/>
              </a:solidFill>
              <a:prstDash val="sysDash"/>
            </a:ln>
          </c:spPr>
          <c:marker>
            <c:symbol val="none"/>
          </c:marker>
          <c:cat>
            <c:numRef>
              <c:f>'Group 10'!$E$327:$H$327</c:f>
              <c:numCache>
                <c:formatCode>General</c:formatCode>
                <c:ptCount val="4"/>
                <c:pt idx="0">
                  <c:v>2009</c:v>
                </c:pt>
                <c:pt idx="1">
                  <c:v>2010</c:v>
                </c:pt>
                <c:pt idx="2">
                  <c:v>2011</c:v>
                </c:pt>
                <c:pt idx="3">
                  <c:v>2012</c:v>
                </c:pt>
              </c:numCache>
            </c:numRef>
          </c:cat>
          <c:val>
            <c:numRef>
              <c:f>'Group 10'!$E$328:$H$328</c:f>
              <c:numCache>
                <c:formatCode>_(* #,##0.00_);_(* \(#,##0.00\);_(* "-"??_);_(@_)</c:formatCode>
                <c:ptCount val="4"/>
                <c:pt idx="0">
                  <c:v>1</c:v>
                </c:pt>
                <c:pt idx="1">
                  <c:v>1</c:v>
                </c:pt>
                <c:pt idx="2">
                  <c:v>1</c:v>
                </c:pt>
                <c:pt idx="3">
                  <c:v>1</c:v>
                </c:pt>
              </c:numCache>
            </c:numRef>
          </c:val>
          <c:smooth val="0"/>
        </c:ser>
        <c:ser>
          <c:idx val="1"/>
          <c:order val="1"/>
          <c:tx>
            <c:strRef>
              <c:f>'Group 10'!$A$329</c:f>
              <c:strCache>
                <c:ptCount val="1"/>
                <c:pt idx="0">
                  <c:v>Highest</c:v>
                </c:pt>
              </c:strCache>
            </c:strRef>
          </c:tx>
          <c:spPr>
            <a:ln>
              <a:solidFill>
                <a:srgbClr val="92B3F4"/>
              </a:solidFill>
            </a:ln>
          </c:spPr>
          <c:marker>
            <c:symbol val="none"/>
          </c:marker>
          <c:cat>
            <c:numRef>
              <c:f>'Group 10'!$E$327:$H$327</c:f>
              <c:numCache>
                <c:formatCode>General</c:formatCode>
                <c:ptCount val="4"/>
                <c:pt idx="0">
                  <c:v>2009</c:v>
                </c:pt>
                <c:pt idx="1">
                  <c:v>2010</c:v>
                </c:pt>
                <c:pt idx="2">
                  <c:v>2011</c:v>
                </c:pt>
                <c:pt idx="3">
                  <c:v>2012</c:v>
                </c:pt>
              </c:numCache>
            </c:numRef>
          </c:cat>
          <c:val>
            <c:numRef>
              <c:f>'Group 10'!$E$329:$H$329</c:f>
              <c:numCache>
                <c:formatCode>_(* #,##0.00_);_(* \(#,##0.00\);_(* "-"??_);_(@_)</c:formatCode>
                <c:ptCount val="4"/>
                <c:pt idx="0">
                  <c:v>3.17</c:v>
                </c:pt>
                <c:pt idx="1">
                  <c:v>3.97</c:v>
                </c:pt>
                <c:pt idx="2">
                  <c:v>1.41</c:v>
                </c:pt>
                <c:pt idx="3">
                  <c:v>1.25</c:v>
                </c:pt>
              </c:numCache>
            </c:numRef>
          </c:val>
          <c:smooth val="0"/>
        </c:ser>
        <c:ser>
          <c:idx val="2"/>
          <c:order val="2"/>
          <c:tx>
            <c:strRef>
              <c:f>'Group 10'!$A$330</c:f>
              <c:strCache>
                <c:ptCount val="1"/>
                <c:pt idx="0">
                  <c:v>Average</c:v>
                </c:pt>
              </c:strCache>
            </c:strRef>
          </c:tx>
          <c:spPr>
            <a:ln>
              <a:solidFill>
                <a:srgbClr val="3975EB"/>
              </a:solidFill>
            </a:ln>
          </c:spPr>
          <c:marker>
            <c:symbol val="none"/>
          </c:marker>
          <c:cat>
            <c:numRef>
              <c:f>'Group 10'!$E$327:$H$327</c:f>
              <c:numCache>
                <c:formatCode>General</c:formatCode>
                <c:ptCount val="4"/>
                <c:pt idx="0">
                  <c:v>2009</c:v>
                </c:pt>
                <c:pt idx="1">
                  <c:v>2010</c:v>
                </c:pt>
                <c:pt idx="2">
                  <c:v>2011</c:v>
                </c:pt>
                <c:pt idx="3">
                  <c:v>2012</c:v>
                </c:pt>
              </c:numCache>
            </c:numRef>
          </c:cat>
          <c:val>
            <c:numRef>
              <c:f>'Group 10'!$E$330:$H$330</c:f>
              <c:numCache>
                <c:formatCode>_(* #,##0.00_);_(* \(#,##0.00\);_(* "-"??_);_(@_)</c:formatCode>
                <c:ptCount val="4"/>
                <c:pt idx="0">
                  <c:v>1.2885600000000001</c:v>
                </c:pt>
                <c:pt idx="1">
                  <c:v>1.3250439999999997</c:v>
                </c:pt>
                <c:pt idx="2">
                  <c:v>0.67168400000000006</c:v>
                </c:pt>
                <c:pt idx="3">
                  <c:v>0.68785200000000002</c:v>
                </c:pt>
              </c:numCache>
            </c:numRef>
          </c:val>
          <c:smooth val="0"/>
        </c:ser>
        <c:ser>
          <c:idx val="3"/>
          <c:order val="3"/>
          <c:tx>
            <c:strRef>
              <c:f>'Group 10'!$A$331</c:f>
              <c:strCache>
                <c:ptCount val="1"/>
                <c:pt idx="0">
                  <c:v>Gwydir Shire Council</c:v>
                </c:pt>
              </c:strCache>
            </c:strRef>
          </c:tx>
          <c:spPr>
            <a:ln>
              <a:solidFill>
                <a:srgbClr val="0B1E6E"/>
              </a:solidFill>
            </a:ln>
          </c:spPr>
          <c:marker>
            <c:symbol val="none"/>
          </c:marker>
          <c:cat>
            <c:numRef>
              <c:f>'Group 10'!$E$327:$H$327</c:f>
              <c:numCache>
                <c:formatCode>General</c:formatCode>
                <c:ptCount val="4"/>
                <c:pt idx="0">
                  <c:v>2009</c:v>
                </c:pt>
                <c:pt idx="1">
                  <c:v>2010</c:v>
                </c:pt>
                <c:pt idx="2">
                  <c:v>2011</c:v>
                </c:pt>
                <c:pt idx="3">
                  <c:v>2012</c:v>
                </c:pt>
              </c:numCache>
            </c:numRef>
          </c:cat>
          <c:val>
            <c:numRef>
              <c:f>'Group 10'!$E$331:$H$331</c:f>
              <c:numCache>
                <c:formatCode>_(* #,##0.00_);_(* \(#,##0.00\);_(* "-"??_);_(@_)</c:formatCode>
                <c:ptCount val="4"/>
                <c:pt idx="0">
                  <c:v>0.63</c:v>
                </c:pt>
                <c:pt idx="1">
                  <c:v>0.43</c:v>
                </c:pt>
                <c:pt idx="2">
                  <c:v>0.52</c:v>
                </c:pt>
                <c:pt idx="3">
                  <c:v>0.35</c:v>
                </c:pt>
              </c:numCache>
            </c:numRef>
          </c:val>
          <c:smooth val="0"/>
        </c:ser>
        <c:dLbls>
          <c:showLegendKey val="0"/>
          <c:showVal val="0"/>
          <c:showCatName val="0"/>
          <c:showSerName val="0"/>
          <c:showPercent val="0"/>
          <c:showBubbleSize val="0"/>
        </c:dLbls>
        <c:marker val="1"/>
        <c:smooth val="0"/>
        <c:axId val="92600192"/>
        <c:axId val="92601728"/>
      </c:lineChart>
      <c:catAx>
        <c:axId val="92600192"/>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2601728"/>
        <c:crosses val="autoZero"/>
        <c:auto val="1"/>
        <c:lblAlgn val="ctr"/>
        <c:lblOffset val="100"/>
        <c:noMultiLvlLbl val="0"/>
      </c:catAx>
      <c:valAx>
        <c:axId val="92601728"/>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2600192"/>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b="0" i="0" u="sng" baseline="0">
                <a:latin typeface="Arial Narrow" pitchFamily="34" charset="0"/>
              </a:rPr>
              <a:t>Figure 15- Own Source Operating Revenue Ratio Comparison</a:t>
            </a:r>
            <a:endParaRPr lang="en-AU" sz="1100">
              <a:latin typeface="Arial Narrow" pitchFamily="34" charset="0"/>
            </a:endParaRPr>
          </a:p>
        </c:rich>
      </c:tx>
      <c:layout>
        <c:manualLayout>
          <c:xMode val="edge"/>
          <c:yMode val="edge"/>
          <c:x val="1.4860017497813442E-3"/>
          <c:y val="3.7037037037037056E-2"/>
        </c:manualLayout>
      </c:layout>
      <c:overlay val="0"/>
    </c:title>
    <c:autoTitleDeleted val="0"/>
    <c:plotArea>
      <c:layout/>
      <c:lineChart>
        <c:grouping val="standard"/>
        <c:varyColors val="0"/>
        <c:ser>
          <c:idx val="0"/>
          <c:order val="0"/>
          <c:tx>
            <c:strRef>
              <c:f>'Group 10'!$A$64</c:f>
              <c:strCache>
                <c:ptCount val="1"/>
                <c:pt idx="0">
                  <c:v>Benchmark</c:v>
                </c:pt>
              </c:strCache>
            </c:strRef>
          </c:tx>
          <c:spPr>
            <a:ln>
              <a:solidFill>
                <a:srgbClr val="C2121D"/>
              </a:solidFill>
              <a:prstDash val="sysDash"/>
            </a:ln>
          </c:spPr>
          <c:marker>
            <c:symbol val="none"/>
          </c:marker>
          <c:cat>
            <c:numRef>
              <c:f>'Group 10'!$E$63:$I$63</c:f>
              <c:numCache>
                <c:formatCode>General</c:formatCode>
                <c:ptCount val="5"/>
                <c:pt idx="0">
                  <c:v>2009</c:v>
                </c:pt>
                <c:pt idx="1">
                  <c:v>2010</c:v>
                </c:pt>
                <c:pt idx="2">
                  <c:v>2011</c:v>
                </c:pt>
                <c:pt idx="3">
                  <c:v>2012</c:v>
                </c:pt>
                <c:pt idx="4">
                  <c:v>2016</c:v>
                </c:pt>
              </c:numCache>
            </c:numRef>
          </c:cat>
          <c:val>
            <c:numRef>
              <c:f>'Group 10'!$E$64:$I$64</c:f>
              <c:numCache>
                <c:formatCode>0.0%</c:formatCode>
                <c:ptCount val="5"/>
                <c:pt idx="0">
                  <c:v>0.6</c:v>
                </c:pt>
                <c:pt idx="1">
                  <c:v>0.6</c:v>
                </c:pt>
                <c:pt idx="2">
                  <c:v>0.6</c:v>
                </c:pt>
                <c:pt idx="3">
                  <c:v>0.6</c:v>
                </c:pt>
                <c:pt idx="4">
                  <c:v>0.6</c:v>
                </c:pt>
              </c:numCache>
            </c:numRef>
          </c:val>
          <c:smooth val="0"/>
        </c:ser>
        <c:ser>
          <c:idx val="1"/>
          <c:order val="1"/>
          <c:tx>
            <c:strRef>
              <c:f>'Group 10'!$A$65</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10'!$E$63:$I$63</c:f>
              <c:numCache>
                <c:formatCode>General</c:formatCode>
                <c:ptCount val="5"/>
                <c:pt idx="0">
                  <c:v>2009</c:v>
                </c:pt>
                <c:pt idx="1">
                  <c:v>2010</c:v>
                </c:pt>
                <c:pt idx="2">
                  <c:v>2011</c:v>
                </c:pt>
                <c:pt idx="3">
                  <c:v>2012</c:v>
                </c:pt>
                <c:pt idx="4">
                  <c:v>2016</c:v>
                </c:pt>
              </c:numCache>
            </c:numRef>
          </c:cat>
          <c:val>
            <c:numRef>
              <c:f>'Group 10'!$E$65:$I$65</c:f>
              <c:numCache>
                <c:formatCode>0.0%</c:formatCode>
                <c:ptCount val="5"/>
                <c:pt idx="0">
                  <c:v>0.59356261022927692</c:v>
                </c:pt>
                <c:pt idx="1">
                  <c:v>0.57823825709488508</c:v>
                </c:pt>
                <c:pt idx="2">
                  <c:v>0.61702127659574468</c:v>
                </c:pt>
                <c:pt idx="3">
                  <c:v>0.62202768729641689</c:v>
                </c:pt>
                <c:pt idx="4">
                  <c:v>0.68145601377167153</c:v>
                </c:pt>
              </c:numCache>
            </c:numRef>
          </c:val>
          <c:smooth val="0"/>
        </c:ser>
        <c:ser>
          <c:idx val="2"/>
          <c:order val="2"/>
          <c:tx>
            <c:strRef>
              <c:f>'Group 10'!$A$66</c:f>
              <c:strCache>
                <c:ptCount val="1"/>
                <c:pt idx="0">
                  <c:v>Average</c:v>
                </c:pt>
              </c:strCache>
            </c:strRef>
          </c:tx>
          <c:spPr>
            <a:ln>
              <a:solidFill>
                <a:srgbClr val="3975EB"/>
              </a:solidFill>
            </a:ln>
          </c:spPr>
          <c:marker>
            <c:symbol val="none"/>
          </c:marker>
          <c:dPt>
            <c:idx val="4"/>
            <c:marker>
              <c:symbol val="diamond"/>
              <c:size val="7"/>
              <c:spPr>
                <a:solidFill>
                  <a:srgbClr val="3975EB"/>
                </a:solidFill>
              </c:spPr>
            </c:marker>
            <c:bubble3D val="0"/>
            <c:spPr>
              <a:ln>
                <a:noFill/>
              </a:ln>
            </c:spPr>
          </c:dPt>
          <c:cat>
            <c:numRef>
              <c:f>'Group 10'!$E$63:$I$63</c:f>
              <c:numCache>
                <c:formatCode>General</c:formatCode>
                <c:ptCount val="5"/>
                <c:pt idx="0">
                  <c:v>2009</c:v>
                </c:pt>
                <c:pt idx="1">
                  <c:v>2010</c:v>
                </c:pt>
                <c:pt idx="2">
                  <c:v>2011</c:v>
                </c:pt>
                <c:pt idx="3">
                  <c:v>2012</c:v>
                </c:pt>
                <c:pt idx="4">
                  <c:v>2016</c:v>
                </c:pt>
              </c:numCache>
            </c:numRef>
          </c:cat>
          <c:val>
            <c:numRef>
              <c:f>'Group 10'!$E$66:$I$66</c:f>
              <c:numCache>
                <c:formatCode>0.0%</c:formatCode>
                <c:ptCount val="5"/>
                <c:pt idx="0">
                  <c:v>0.45158083782840408</c:v>
                </c:pt>
                <c:pt idx="1">
                  <c:v>0.48926015970297754</c:v>
                </c:pt>
                <c:pt idx="2">
                  <c:v>0.48273798581581961</c:v>
                </c:pt>
                <c:pt idx="3">
                  <c:v>0.46134146979174956</c:v>
                </c:pt>
                <c:pt idx="4">
                  <c:v>0.53200692047256037</c:v>
                </c:pt>
              </c:numCache>
            </c:numRef>
          </c:val>
          <c:smooth val="0"/>
        </c:ser>
        <c:ser>
          <c:idx val="3"/>
          <c:order val="3"/>
          <c:tx>
            <c:strRef>
              <c:f>'Group 10'!$A$67</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c:spPr>
            </c:marker>
            <c:bubble3D val="0"/>
            <c:spPr>
              <a:ln>
                <a:noFill/>
              </a:ln>
            </c:spPr>
          </c:dPt>
          <c:cat>
            <c:numRef>
              <c:f>'Group 10'!$E$63:$I$63</c:f>
              <c:numCache>
                <c:formatCode>General</c:formatCode>
                <c:ptCount val="5"/>
                <c:pt idx="0">
                  <c:v>2009</c:v>
                </c:pt>
                <c:pt idx="1">
                  <c:v>2010</c:v>
                </c:pt>
                <c:pt idx="2">
                  <c:v>2011</c:v>
                </c:pt>
                <c:pt idx="3">
                  <c:v>2012</c:v>
                </c:pt>
                <c:pt idx="4">
                  <c:v>2016</c:v>
                </c:pt>
              </c:numCache>
            </c:numRef>
          </c:cat>
          <c:val>
            <c:numRef>
              <c:f>'Group 10'!$E$67:$I$67</c:f>
              <c:numCache>
                <c:formatCode>0.0%</c:formatCode>
                <c:ptCount val="5"/>
                <c:pt idx="0">
                  <c:v>0.49473825024525103</c:v>
                </c:pt>
                <c:pt idx="1">
                  <c:v>0.54938820441170244</c:v>
                </c:pt>
                <c:pt idx="2">
                  <c:v>0.5001315047905317</c:v>
                </c:pt>
                <c:pt idx="3">
                  <c:v>0.46755047515979575</c:v>
                </c:pt>
                <c:pt idx="4">
                  <c:v>0.47837076323858457</c:v>
                </c:pt>
              </c:numCache>
            </c:numRef>
          </c:val>
          <c:smooth val="0"/>
        </c:ser>
        <c:dLbls>
          <c:showLegendKey val="0"/>
          <c:showVal val="0"/>
          <c:showCatName val="0"/>
          <c:showSerName val="0"/>
          <c:showPercent val="0"/>
          <c:showBubbleSize val="0"/>
        </c:dLbls>
        <c:marker val="1"/>
        <c:smooth val="0"/>
        <c:axId val="78928128"/>
        <c:axId val="78929920"/>
      </c:lineChart>
      <c:catAx>
        <c:axId val="78928128"/>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78929920"/>
        <c:crosses val="autoZero"/>
        <c:auto val="1"/>
        <c:lblAlgn val="ctr"/>
        <c:lblOffset val="100"/>
        <c:noMultiLvlLbl val="0"/>
      </c:catAx>
      <c:valAx>
        <c:axId val="78929920"/>
        <c:scaling>
          <c:orientation val="minMax"/>
          <c:max val="0.85000000000000164"/>
          <c:min val="0.30000000000000032"/>
        </c:scaling>
        <c:delete val="0"/>
        <c:axPos val="l"/>
        <c:majorGridlines/>
        <c:numFmt formatCode="0.0%" sourceLinked="1"/>
        <c:majorTickMark val="out"/>
        <c:minorTickMark val="none"/>
        <c:tickLblPos val="nextTo"/>
        <c:txPr>
          <a:bodyPr/>
          <a:lstStyle/>
          <a:p>
            <a:pPr>
              <a:defRPr>
                <a:latin typeface="Arial Narrow" pitchFamily="34" charset="0"/>
              </a:defRPr>
            </a:pPr>
            <a:endParaRPr lang="en-US"/>
          </a:p>
        </c:txPr>
        <c:crossAx val="78928128"/>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16 - Cash Expense Ratio Comparison</a:t>
            </a:r>
          </a:p>
        </c:rich>
      </c:tx>
      <c:layout>
        <c:manualLayout>
          <c:xMode val="edge"/>
          <c:yMode val="edge"/>
          <c:x val="3.1936252510772743E-3"/>
          <c:y val="3.0534338909525116E-2"/>
        </c:manualLayout>
      </c:layout>
      <c:overlay val="0"/>
    </c:title>
    <c:autoTitleDeleted val="0"/>
    <c:plotArea>
      <c:layout/>
      <c:lineChart>
        <c:grouping val="standard"/>
        <c:varyColors val="0"/>
        <c:ser>
          <c:idx val="0"/>
          <c:order val="0"/>
          <c:tx>
            <c:strRef>
              <c:f>'Group 10'!$A$97</c:f>
              <c:strCache>
                <c:ptCount val="1"/>
                <c:pt idx="0">
                  <c:v>Benchmark</c:v>
                </c:pt>
              </c:strCache>
            </c:strRef>
          </c:tx>
          <c:spPr>
            <a:ln>
              <a:solidFill>
                <a:srgbClr val="C2121D"/>
              </a:solidFill>
              <a:prstDash val="sysDash"/>
            </a:ln>
          </c:spPr>
          <c:marker>
            <c:symbol val="none"/>
          </c:marker>
          <c:cat>
            <c:numRef>
              <c:f>'Group 10'!$E$96:$I$96</c:f>
              <c:numCache>
                <c:formatCode>General</c:formatCode>
                <c:ptCount val="5"/>
                <c:pt idx="0">
                  <c:v>2009</c:v>
                </c:pt>
                <c:pt idx="1">
                  <c:v>2010</c:v>
                </c:pt>
                <c:pt idx="2">
                  <c:v>2011</c:v>
                </c:pt>
                <c:pt idx="3">
                  <c:v>2012</c:v>
                </c:pt>
                <c:pt idx="4">
                  <c:v>2016</c:v>
                </c:pt>
              </c:numCache>
            </c:numRef>
          </c:cat>
          <c:val>
            <c:numRef>
              <c:f>'Group 10'!$E$97:$I$97</c:f>
              <c:numCache>
                <c:formatCode>#,##0.0\ "months";\(0.0\ "months"\)</c:formatCode>
                <c:ptCount val="5"/>
                <c:pt idx="0">
                  <c:v>3</c:v>
                </c:pt>
                <c:pt idx="1">
                  <c:v>3</c:v>
                </c:pt>
                <c:pt idx="2">
                  <c:v>3</c:v>
                </c:pt>
                <c:pt idx="3">
                  <c:v>3</c:v>
                </c:pt>
                <c:pt idx="4">
                  <c:v>3</c:v>
                </c:pt>
              </c:numCache>
            </c:numRef>
          </c:val>
          <c:smooth val="0"/>
        </c:ser>
        <c:ser>
          <c:idx val="1"/>
          <c:order val="1"/>
          <c:tx>
            <c:strRef>
              <c:f>'Group 10'!$A$98</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10'!$E$96:$I$96</c:f>
              <c:numCache>
                <c:formatCode>General</c:formatCode>
                <c:ptCount val="5"/>
                <c:pt idx="0">
                  <c:v>2009</c:v>
                </c:pt>
                <c:pt idx="1">
                  <c:v>2010</c:v>
                </c:pt>
                <c:pt idx="2">
                  <c:v>2011</c:v>
                </c:pt>
                <c:pt idx="3">
                  <c:v>2012</c:v>
                </c:pt>
                <c:pt idx="4">
                  <c:v>2016</c:v>
                </c:pt>
              </c:numCache>
            </c:numRef>
          </c:cat>
          <c:val>
            <c:numRef>
              <c:f>'Group 10'!$E$98:$I$98</c:f>
              <c:numCache>
                <c:formatCode>#,##0.0\ "months";\(0.0\ "months"\)</c:formatCode>
                <c:ptCount val="5"/>
                <c:pt idx="0">
                  <c:v>15.436548223350254</c:v>
                </c:pt>
                <c:pt idx="1">
                  <c:v>13.069589209074188</c:v>
                </c:pt>
                <c:pt idx="2">
                  <c:v>13.836404066073698</c:v>
                </c:pt>
                <c:pt idx="3">
                  <c:v>19.759458856760574</c:v>
                </c:pt>
                <c:pt idx="4">
                  <c:v>7.3799508331057098</c:v>
                </c:pt>
              </c:numCache>
            </c:numRef>
          </c:val>
          <c:smooth val="0"/>
        </c:ser>
        <c:ser>
          <c:idx val="2"/>
          <c:order val="2"/>
          <c:tx>
            <c:strRef>
              <c:f>'Group 10'!$A$99</c:f>
              <c:strCache>
                <c:ptCount val="1"/>
                <c:pt idx="0">
                  <c:v>Average</c:v>
                </c:pt>
              </c:strCache>
            </c:strRef>
          </c:tx>
          <c:spPr>
            <a:ln>
              <a:solidFill>
                <a:srgbClr val="3975EB"/>
              </a:solidFill>
            </a:ln>
          </c:spPr>
          <c:marker>
            <c:symbol val="none"/>
          </c:marker>
          <c:dPt>
            <c:idx val="4"/>
            <c:marker>
              <c:symbol val="diamond"/>
              <c:size val="7"/>
              <c:spPr>
                <a:solidFill>
                  <a:srgbClr val="3975EB"/>
                </a:solidFill>
              </c:spPr>
            </c:marker>
            <c:bubble3D val="0"/>
            <c:spPr>
              <a:ln>
                <a:noFill/>
              </a:ln>
            </c:spPr>
          </c:dPt>
          <c:cat>
            <c:numRef>
              <c:f>'Group 10'!$E$96:$I$96</c:f>
              <c:numCache>
                <c:formatCode>General</c:formatCode>
                <c:ptCount val="5"/>
                <c:pt idx="0">
                  <c:v>2009</c:v>
                </c:pt>
                <c:pt idx="1">
                  <c:v>2010</c:v>
                </c:pt>
                <c:pt idx="2">
                  <c:v>2011</c:v>
                </c:pt>
                <c:pt idx="3">
                  <c:v>2012</c:v>
                </c:pt>
                <c:pt idx="4">
                  <c:v>2016</c:v>
                </c:pt>
              </c:numCache>
            </c:numRef>
          </c:cat>
          <c:val>
            <c:numRef>
              <c:f>'Group 10'!$E$99:$I$99</c:f>
              <c:numCache>
                <c:formatCode>#,##0.0\ "months";\(0.0\ "months"\)</c:formatCode>
                <c:ptCount val="5"/>
                <c:pt idx="0">
                  <c:v>5.8797306616039968</c:v>
                </c:pt>
                <c:pt idx="1">
                  <c:v>6.1535809818342591</c:v>
                </c:pt>
                <c:pt idx="2">
                  <c:v>5.4488636264101737</c:v>
                </c:pt>
                <c:pt idx="3">
                  <c:v>5.5271546521884041</c:v>
                </c:pt>
                <c:pt idx="4">
                  <c:v>5.4025885337653401</c:v>
                </c:pt>
              </c:numCache>
            </c:numRef>
          </c:val>
          <c:smooth val="0"/>
        </c:ser>
        <c:ser>
          <c:idx val="3"/>
          <c:order val="3"/>
          <c:tx>
            <c:strRef>
              <c:f>'Group 10'!$A$100</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c:spPr>
            </c:marker>
            <c:bubble3D val="0"/>
            <c:spPr>
              <a:ln>
                <a:noFill/>
              </a:ln>
            </c:spPr>
          </c:dPt>
          <c:cat>
            <c:numRef>
              <c:f>'Group 10'!$E$96:$I$96</c:f>
              <c:numCache>
                <c:formatCode>General</c:formatCode>
                <c:ptCount val="5"/>
                <c:pt idx="0">
                  <c:v>2009</c:v>
                </c:pt>
                <c:pt idx="1">
                  <c:v>2010</c:v>
                </c:pt>
                <c:pt idx="2">
                  <c:v>2011</c:v>
                </c:pt>
                <c:pt idx="3">
                  <c:v>2012</c:v>
                </c:pt>
                <c:pt idx="4">
                  <c:v>2016</c:v>
                </c:pt>
              </c:numCache>
            </c:numRef>
          </c:cat>
          <c:val>
            <c:numRef>
              <c:f>'Group 10'!$E$100:$I$100</c:f>
              <c:numCache>
                <c:formatCode>#,##0.0\ "months";\(0.0\ "months"\)</c:formatCode>
                <c:ptCount val="5"/>
                <c:pt idx="0">
                  <c:v>2.8273276904474005</c:v>
                </c:pt>
                <c:pt idx="1">
                  <c:v>2.1917470745226852</c:v>
                </c:pt>
                <c:pt idx="2">
                  <c:v>1.9795578797242692</c:v>
                </c:pt>
                <c:pt idx="3">
                  <c:v>0.50897226753670477</c:v>
                </c:pt>
                <c:pt idx="4">
                  <c:v>2.2770681525932277</c:v>
                </c:pt>
              </c:numCache>
            </c:numRef>
          </c:val>
          <c:smooth val="0"/>
        </c:ser>
        <c:dLbls>
          <c:showLegendKey val="0"/>
          <c:showVal val="0"/>
          <c:showCatName val="0"/>
          <c:showSerName val="0"/>
          <c:showPercent val="0"/>
          <c:showBubbleSize val="0"/>
        </c:dLbls>
        <c:marker val="1"/>
        <c:smooth val="0"/>
        <c:axId val="78951168"/>
        <c:axId val="78952704"/>
      </c:lineChart>
      <c:catAx>
        <c:axId val="78951168"/>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78952704"/>
        <c:crosses val="autoZero"/>
        <c:auto val="1"/>
        <c:lblAlgn val="ctr"/>
        <c:lblOffset val="100"/>
        <c:noMultiLvlLbl val="0"/>
      </c:catAx>
      <c:valAx>
        <c:axId val="78952704"/>
        <c:scaling>
          <c:orientation val="minMax"/>
        </c:scaling>
        <c:delete val="0"/>
        <c:axPos val="l"/>
        <c:majorGridlines/>
        <c:numFmt formatCode="#,##0.0\ &quot;months&quot;;\(0.0\ &quot;months&quot;\)" sourceLinked="1"/>
        <c:majorTickMark val="out"/>
        <c:minorTickMark val="none"/>
        <c:tickLblPos val="nextTo"/>
        <c:txPr>
          <a:bodyPr/>
          <a:lstStyle/>
          <a:p>
            <a:pPr>
              <a:defRPr>
                <a:latin typeface="Arial Narrow" pitchFamily="34" charset="0"/>
              </a:defRPr>
            </a:pPr>
            <a:endParaRPr lang="en-US"/>
          </a:p>
        </c:txPr>
        <c:crossAx val="78951168"/>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b="0" u="sng">
                <a:latin typeface="Arial Narrow" pitchFamily="34" charset="0"/>
              </a:rPr>
              <a:t>Figure 17 - Unrestricted</a:t>
            </a:r>
            <a:r>
              <a:rPr lang="en-AU" sz="1100" b="0" u="sng" baseline="0">
                <a:latin typeface="Arial Narrow" pitchFamily="34" charset="0"/>
              </a:rPr>
              <a:t> Current Ratio Comparison</a:t>
            </a:r>
            <a:endParaRPr lang="en-AU" sz="1100" b="0" u="sng">
              <a:latin typeface="Arial Narrow" pitchFamily="34" charset="0"/>
            </a:endParaRPr>
          </a:p>
        </c:rich>
      </c:tx>
      <c:layout>
        <c:manualLayout>
          <c:xMode val="edge"/>
          <c:yMode val="edge"/>
          <c:x val="1.5415573053368966E-3"/>
          <c:y val="3.742690058479721E-2"/>
        </c:manualLayout>
      </c:layout>
      <c:overlay val="0"/>
    </c:title>
    <c:autoTitleDeleted val="0"/>
    <c:plotArea>
      <c:layout/>
      <c:lineChart>
        <c:grouping val="standard"/>
        <c:varyColors val="0"/>
        <c:ser>
          <c:idx val="0"/>
          <c:order val="0"/>
          <c:tx>
            <c:strRef>
              <c:f>'Group 10'!$A$130</c:f>
              <c:strCache>
                <c:ptCount val="1"/>
                <c:pt idx="0">
                  <c:v>Benchmark</c:v>
                </c:pt>
              </c:strCache>
            </c:strRef>
          </c:tx>
          <c:spPr>
            <a:ln>
              <a:solidFill>
                <a:srgbClr val="C2121D"/>
              </a:solidFill>
              <a:prstDash val="sysDash"/>
            </a:ln>
          </c:spPr>
          <c:marker>
            <c:symbol val="none"/>
          </c:marker>
          <c:cat>
            <c:numRef>
              <c:f>'Group 10'!$E$129:$I$129</c:f>
              <c:numCache>
                <c:formatCode>General</c:formatCode>
                <c:ptCount val="5"/>
                <c:pt idx="0">
                  <c:v>2009</c:v>
                </c:pt>
                <c:pt idx="1">
                  <c:v>2010</c:v>
                </c:pt>
                <c:pt idx="2">
                  <c:v>2011</c:v>
                </c:pt>
                <c:pt idx="3">
                  <c:v>2012</c:v>
                </c:pt>
                <c:pt idx="4">
                  <c:v>2016</c:v>
                </c:pt>
              </c:numCache>
            </c:numRef>
          </c:cat>
          <c:val>
            <c:numRef>
              <c:f>'Group 10'!$E$130:$I$130</c:f>
              <c:numCache>
                <c:formatCode>_(* #,##0.00_);_(* \(#,##0.00\);_(* "-"??_);_(@_)</c:formatCode>
                <c:ptCount val="5"/>
                <c:pt idx="0">
                  <c:v>1.5</c:v>
                </c:pt>
                <c:pt idx="1">
                  <c:v>1.5</c:v>
                </c:pt>
                <c:pt idx="2">
                  <c:v>1.5</c:v>
                </c:pt>
                <c:pt idx="3">
                  <c:v>1.5</c:v>
                </c:pt>
                <c:pt idx="4">
                  <c:v>1.5</c:v>
                </c:pt>
              </c:numCache>
            </c:numRef>
          </c:val>
          <c:smooth val="0"/>
        </c:ser>
        <c:ser>
          <c:idx val="1"/>
          <c:order val="1"/>
          <c:tx>
            <c:strRef>
              <c:f>'Group 10'!$A$131</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10'!$E$129:$I$129</c:f>
              <c:numCache>
                <c:formatCode>General</c:formatCode>
                <c:ptCount val="5"/>
                <c:pt idx="0">
                  <c:v>2009</c:v>
                </c:pt>
                <c:pt idx="1">
                  <c:v>2010</c:v>
                </c:pt>
                <c:pt idx="2">
                  <c:v>2011</c:v>
                </c:pt>
                <c:pt idx="3">
                  <c:v>2012</c:v>
                </c:pt>
                <c:pt idx="4">
                  <c:v>2016</c:v>
                </c:pt>
              </c:numCache>
            </c:numRef>
          </c:cat>
          <c:val>
            <c:numRef>
              <c:f>'Group 10'!$E$131:$I$131</c:f>
              <c:numCache>
                <c:formatCode>_(* #,##0.00_);_(* \(#,##0.00\);_(* "-"??_);_(@_)</c:formatCode>
                <c:ptCount val="5"/>
                <c:pt idx="0">
                  <c:v>4.59</c:v>
                </c:pt>
                <c:pt idx="1">
                  <c:v>7.8</c:v>
                </c:pt>
                <c:pt idx="2">
                  <c:v>7.52</c:v>
                </c:pt>
                <c:pt idx="3">
                  <c:v>8.39</c:v>
                </c:pt>
                <c:pt idx="4">
                  <c:v>0</c:v>
                </c:pt>
              </c:numCache>
            </c:numRef>
          </c:val>
          <c:smooth val="0"/>
        </c:ser>
        <c:ser>
          <c:idx val="2"/>
          <c:order val="2"/>
          <c:tx>
            <c:strRef>
              <c:f>'Group 10'!$A$132</c:f>
              <c:strCache>
                <c:ptCount val="1"/>
                <c:pt idx="0">
                  <c:v>Average</c:v>
                </c:pt>
              </c:strCache>
            </c:strRef>
          </c:tx>
          <c:spPr>
            <a:ln>
              <a:solidFill>
                <a:srgbClr val="3975EB"/>
              </a:solidFill>
            </a:ln>
          </c:spPr>
          <c:marker>
            <c:symbol val="none"/>
          </c:marker>
          <c:dPt>
            <c:idx val="4"/>
            <c:marker>
              <c:symbol val="diamond"/>
              <c:size val="7"/>
              <c:spPr>
                <a:solidFill>
                  <a:srgbClr val="3975EB"/>
                </a:solidFill>
                <a:ln>
                  <a:solidFill>
                    <a:srgbClr val="3975EB"/>
                  </a:solidFill>
                </a:ln>
              </c:spPr>
            </c:marker>
            <c:bubble3D val="0"/>
            <c:spPr>
              <a:ln>
                <a:noFill/>
              </a:ln>
            </c:spPr>
          </c:dPt>
          <c:cat>
            <c:numRef>
              <c:f>'Group 10'!$E$129:$I$129</c:f>
              <c:numCache>
                <c:formatCode>General</c:formatCode>
                <c:ptCount val="5"/>
                <c:pt idx="0">
                  <c:v>2009</c:v>
                </c:pt>
                <c:pt idx="1">
                  <c:v>2010</c:v>
                </c:pt>
                <c:pt idx="2">
                  <c:v>2011</c:v>
                </c:pt>
                <c:pt idx="3">
                  <c:v>2012</c:v>
                </c:pt>
                <c:pt idx="4">
                  <c:v>2016</c:v>
                </c:pt>
              </c:numCache>
            </c:numRef>
          </c:cat>
          <c:val>
            <c:numRef>
              <c:f>'Group 10'!$E$132:$I$132</c:f>
              <c:numCache>
                <c:formatCode>_(* #,##0.00_);_(* \(#,##0.00\);_(* "-"??_);_(@_)</c:formatCode>
                <c:ptCount val="5"/>
                <c:pt idx="0">
                  <c:v>3.7327999999999997</c:v>
                </c:pt>
                <c:pt idx="1">
                  <c:v>3.712800000000001</c:v>
                </c:pt>
                <c:pt idx="2">
                  <c:v>3.9296000000000002</c:v>
                </c:pt>
                <c:pt idx="3">
                  <c:v>4.2984</c:v>
                </c:pt>
                <c:pt idx="4">
                  <c:v>2.0629797239367447</c:v>
                </c:pt>
              </c:numCache>
            </c:numRef>
          </c:val>
          <c:smooth val="0"/>
        </c:ser>
        <c:ser>
          <c:idx val="3"/>
          <c:order val="3"/>
          <c:tx>
            <c:strRef>
              <c:f>'Group 10'!$A$133</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a:ln>
                  <a:solidFill>
                    <a:srgbClr val="0B1E6E"/>
                  </a:solidFill>
                </a:ln>
              </c:spPr>
            </c:marker>
            <c:bubble3D val="0"/>
            <c:spPr>
              <a:ln>
                <a:noFill/>
              </a:ln>
            </c:spPr>
          </c:dPt>
          <c:cat>
            <c:numRef>
              <c:f>'Group 10'!$E$129:$I$129</c:f>
              <c:numCache>
                <c:formatCode>General</c:formatCode>
                <c:ptCount val="5"/>
                <c:pt idx="0">
                  <c:v>2009</c:v>
                </c:pt>
                <c:pt idx="1">
                  <c:v>2010</c:v>
                </c:pt>
                <c:pt idx="2">
                  <c:v>2011</c:v>
                </c:pt>
                <c:pt idx="3">
                  <c:v>2012</c:v>
                </c:pt>
                <c:pt idx="4">
                  <c:v>2016</c:v>
                </c:pt>
              </c:numCache>
            </c:numRef>
          </c:cat>
          <c:val>
            <c:numRef>
              <c:f>'Group 10'!$E$133:$I$133</c:f>
              <c:numCache>
                <c:formatCode>_(* #,##0.00_);_(* \(#,##0.00\);_(* "-"??_);_(@_)</c:formatCode>
                <c:ptCount val="5"/>
                <c:pt idx="0">
                  <c:v>1.69</c:v>
                </c:pt>
                <c:pt idx="1">
                  <c:v>2.72</c:v>
                </c:pt>
                <c:pt idx="2">
                  <c:v>3.49</c:v>
                </c:pt>
                <c:pt idx="3">
                  <c:v>2.5</c:v>
                </c:pt>
                <c:pt idx="4">
                  <c:v>1.51</c:v>
                </c:pt>
              </c:numCache>
            </c:numRef>
          </c:val>
          <c:smooth val="0"/>
        </c:ser>
        <c:dLbls>
          <c:showLegendKey val="0"/>
          <c:showVal val="0"/>
          <c:showCatName val="0"/>
          <c:showSerName val="0"/>
          <c:showPercent val="0"/>
          <c:showBubbleSize val="0"/>
        </c:dLbls>
        <c:marker val="1"/>
        <c:smooth val="0"/>
        <c:axId val="92486656"/>
        <c:axId val="92488448"/>
      </c:lineChart>
      <c:catAx>
        <c:axId val="92486656"/>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2488448"/>
        <c:crosses val="autoZero"/>
        <c:auto val="1"/>
        <c:lblAlgn val="ctr"/>
        <c:lblOffset val="100"/>
        <c:noMultiLvlLbl val="0"/>
      </c:catAx>
      <c:valAx>
        <c:axId val="92488448"/>
        <c:scaling>
          <c:orientation val="minMax"/>
          <c:min val="1"/>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2486656"/>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18- Debt Service Cover Ratio Comparison</a:t>
            </a:r>
          </a:p>
        </c:rich>
      </c:tx>
      <c:layout>
        <c:manualLayout>
          <c:xMode val="edge"/>
          <c:yMode val="edge"/>
          <c:x val="1.3888888888889755E-3"/>
          <c:y val="2.7777777777780496E-2"/>
        </c:manualLayout>
      </c:layout>
      <c:overlay val="0"/>
    </c:title>
    <c:autoTitleDeleted val="0"/>
    <c:plotArea>
      <c:layout/>
      <c:lineChart>
        <c:grouping val="standard"/>
        <c:varyColors val="0"/>
        <c:ser>
          <c:idx val="0"/>
          <c:order val="0"/>
          <c:tx>
            <c:strRef>
              <c:f>'Group 10'!$A$163</c:f>
              <c:strCache>
                <c:ptCount val="1"/>
                <c:pt idx="0">
                  <c:v>Benchmark</c:v>
                </c:pt>
              </c:strCache>
            </c:strRef>
          </c:tx>
          <c:spPr>
            <a:ln>
              <a:solidFill>
                <a:srgbClr val="C2121D"/>
              </a:solidFill>
              <a:prstDash val="sysDash"/>
            </a:ln>
          </c:spPr>
          <c:marker>
            <c:symbol val="none"/>
          </c:marker>
          <c:cat>
            <c:numRef>
              <c:f>'Group 10'!$E$162:$I$162</c:f>
              <c:numCache>
                <c:formatCode>General</c:formatCode>
                <c:ptCount val="5"/>
                <c:pt idx="0">
                  <c:v>2009</c:v>
                </c:pt>
                <c:pt idx="1">
                  <c:v>2010</c:v>
                </c:pt>
                <c:pt idx="2">
                  <c:v>2011</c:v>
                </c:pt>
                <c:pt idx="3">
                  <c:v>2012</c:v>
                </c:pt>
                <c:pt idx="4">
                  <c:v>2016</c:v>
                </c:pt>
              </c:numCache>
            </c:numRef>
          </c:cat>
          <c:val>
            <c:numRef>
              <c:f>'Group 10'!$E$163:$I$163</c:f>
              <c:numCache>
                <c:formatCode>_(* #,##0.00_);_(* \(#,##0.00\);_(* "-"??_);_(@_)</c:formatCode>
                <c:ptCount val="5"/>
                <c:pt idx="0">
                  <c:v>2</c:v>
                </c:pt>
                <c:pt idx="1">
                  <c:v>2</c:v>
                </c:pt>
                <c:pt idx="2">
                  <c:v>2</c:v>
                </c:pt>
                <c:pt idx="3">
                  <c:v>2</c:v>
                </c:pt>
                <c:pt idx="4">
                  <c:v>2</c:v>
                </c:pt>
              </c:numCache>
            </c:numRef>
          </c:val>
          <c:smooth val="0"/>
        </c:ser>
        <c:ser>
          <c:idx val="1"/>
          <c:order val="1"/>
          <c:tx>
            <c:strRef>
              <c:f>'Group 10'!$A$164</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10'!$E$162:$I$162</c:f>
              <c:numCache>
                <c:formatCode>General</c:formatCode>
                <c:ptCount val="5"/>
                <c:pt idx="0">
                  <c:v>2009</c:v>
                </c:pt>
                <c:pt idx="1">
                  <c:v>2010</c:v>
                </c:pt>
                <c:pt idx="2">
                  <c:v>2011</c:v>
                </c:pt>
                <c:pt idx="3">
                  <c:v>2012</c:v>
                </c:pt>
                <c:pt idx="4">
                  <c:v>2016</c:v>
                </c:pt>
              </c:numCache>
            </c:numRef>
          </c:cat>
          <c:val>
            <c:numRef>
              <c:f>'Group 10'!$E$164:$I$164</c:f>
              <c:numCache>
                <c:formatCode>_(* #,##0.00_);_(* \(#,##0.00\);_(* "-"??_);_(@_)</c:formatCode>
                <c:ptCount val="5"/>
                <c:pt idx="0">
                  <c:v>39.106796116504853</c:v>
                </c:pt>
                <c:pt idx="1">
                  <c:v>122.29032258064517</c:v>
                </c:pt>
                <c:pt idx="2">
                  <c:v>17.918699186991869</c:v>
                </c:pt>
                <c:pt idx="3">
                  <c:v>9.9111675126903549</c:v>
                </c:pt>
                <c:pt idx="4">
                  <c:v>3.2062062248000682</c:v>
                </c:pt>
              </c:numCache>
            </c:numRef>
          </c:val>
          <c:smooth val="0"/>
        </c:ser>
        <c:ser>
          <c:idx val="2"/>
          <c:order val="2"/>
          <c:tx>
            <c:strRef>
              <c:f>'Group 10'!$A$165</c:f>
              <c:strCache>
                <c:ptCount val="1"/>
                <c:pt idx="0">
                  <c:v>Average</c:v>
                </c:pt>
              </c:strCache>
            </c:strRef>
          </c:tx>
          <c:spPr>
            <a:ln>
              <a:solidFill>
                <a:srgbClr val="3975EB"/>
              </a:solidFill>
            </a:ln>
          </c:spPr>
          <c:marker>
            <c:symbol val="none"/>
          </c:marker>
          <c:dPt>
            <c:idx val="4"/>
            <c:marker>
              <c:symbol val="diamond"/>
              <c:size val="7"/>
              <c:spPr>
                <a:solidFill>
                  <a:srgbClr val="3975EB"/>
                </a:solidFill>
              </c:spPr>
            </c:marker>
            <c:bubble3D val="0"/>
            <c:spPr>
              <a:ln>
                <a:noFill/>
              </a:ln>
            </c:spPr>
          </c:dPt>
          <c:cat>
            <c:numRef>
              <c:f>'Group 10'!$E$162:$I$162</c:f>
              <c:numCache>
                <c:formatCode>General</c:formatCode>
                <c:ptCount val="5"/>
                <c:pt idx="0">
                  <c:v>2009</c:v>
                </c:pt>
                <c:pt idx="1">
                  <c:v>2010</c:v>
                </c:pt>
                <c:pt idx="2">
                  <c:v>2011</c:v>
                </c:pt>
                <c:pt idx="3">
                  <c:v>2012</c:v>
                </c:pt>
                <c:pt idx="4">
                  <c:v>2016</c:v>
                </c:pt>
              </c:numCache>
            </c:numRef>
          </c:cat>
          <c:val>
            <c:numRef>
              <c:f>'Group 10'!$E$165:$I$165</c:f>
              <c:numCache>
                <c:formatCode>_(* #,##0.00_);_(* \(#,##0.00\);_(* "-"??_);_(@_)</c:formatCode>
                <c:ptCount val="5"/>
                <c:pt idx="0">
                  <c:v>12.302460928602809</c:v>
                </c:pt>
                <c:pt idx="1">
                  <c:v>15.795012146067888</c:v>
                </c:pt>
                <c:pt idx="2">
                  <c:v>10.739907708508662</c:v>
                </c:pt>
                <c:pt idx="3">
                  <c:v>13.642053884190664</c:v>
                </c:pt>
                <c:pt idx="4">
                  <c:v>8.8705368962653992</c:v>
                </c:pt>
              </c:numCache>
            </c:numRef>
          </c:val>
          <c:smooth val="0"/>
        </c:ser>
        <c:ser>
          <c:idx val="3"/>
          <c:order val="3"/>
          <c:tx>
            <c:strRef>
              <c:f>'Group 10'!$A$166</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c:spPr>
            </c:marker>
            <c:bubble3D val="0"/>
            <c:spPr>
              <a:ln>
                <a:noFill/>
              </a:ln>
            </c:spPr>
          </c:dPt>
          <c:cat>
            <c:numRef>
              <c:f>'Group 10'!$E$162:$I$162</c:f>
              <c:numCache>
                <c:formatCode>General</c:formatCode>
                <c:ptCount val="5"/>
                <c:pt idx="0">
                  <c:v>2009</c:v>
                </c:pt>
                <c:pt idx="1">
                  <c:v>2010</c:v>
                </c:pt>
                <c:pt idx="2">
                  <c:v>2011</c:v>
                </c:pt>
                <c:pt idx="3">
                  <c:v>2012</c:v>
                </c:pt>
                <c:pt idx="4">
                  <c:v>2016</c:v>
                </c:pt>
              </c:numCache>
            </c:numRef>
          </c:cat>
          <c:val>
            <c:numRef>
              <c:f>'Group 10'!$E$166:$I$166</c:f>
              <c:numCache>
                <c:formatCode>_(* #,##0.00_);_(* \(#,##0.00\);_(* "-"??_);_(@_)</c:formatCode>
                <c:ptCount val="5"/>
                <c:pt idx="0">
                  <c:v>3.2814498933901919</c:v>
                </c:pt>
                <c:pt idx="1">
                  <c:v>4.8490245971162</c:v>
                </c:pt>
                <c:pt idx="2">
                  <c:v>4.1251908396946568</c:v>
                </c:pt>
                <c:pt idx="3">
                  <c:v>3.0605053191489362</c:v>
                </c:pt>
                <c:pt idx="4">
                  <c:v>-0.6498277841561424</c:v>
                </c:pt>
              </c:numCache>
            </c:numRef>
          </c:val>
          <c:smooth val="0"/>
        </c:ser>
        <c:dLbls>
          <c:showLegendKey val="0"/>
          <c:showVal val="0"/>
          <c:showCatName val="0"/>
          <c:showSerName val="0"/>
          <c:showPercent val="0"/>
          <c:showBubbleSize val="0"/>
        </c:dLbls>
        <c:marker val="1"/>
        <c:smooth val="0"/>
        <c:axId val="91760512"/>
        <c:axId val="91762048"/>
      </c:lineChart>
      <c:catAx>
        <c:axId val="91760512"/>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1762048"/>
        <c:crosses val="autoZero"/>
        <c:auto val="1"/>
        <c:lblAlgn val="ctr"/>
        <c:lblOffset val="100"/>
        <c:noMultiLvlLbl val="0"/>
      </c:catAx>
      <c:valAx>
        <c:axId val="91762048"/>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1760512"/>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19 - Interest Cover Ratio Comparison</a:t>
            </a:r>
          </a:p>
        </c:rich>
      </c:tx>
      <c:layout>
        <c:manualLayout>
          <c:xMode val="edge"/>
          <c:yMode val="edge"/>
          <c:x val="7.5699912510937594E-4"/>
          <c:y val="2.7777777777780496E-2"/>
        </c:manualLayout>
      </c:layout>
      <c:overlay val="0"/>
    </c:title>
    <c:autoTitleDeleted val="0"/>
    <c:plotArea>
      <c:layout/>
      <c:lineChart>
        <c:grouping val="standard"/>
        <c:varyColors val="0"/>
        <c:ser>
          <c:idx val="0"/>
          <c:order val="0"/>
          <c:tx>
            <c:strRef>
              <c:f>'Group 10'!$A$196</c:f>
              <c:strCache>
                <c:ptCount val="1"/>
                <c:pt idx="0">
                  <c:v>Benchmark</c:v>
                </c:pt>
              </c:strCache>
            </c:strRef>
          </c:tx>
          <c:spPr>
            <a:ln>
              <a:solidFill>
                <a:srgbClr val="C2121D"/>
              </a:solidFill>
              <a:prstDash val="sysDash"/>
            </a:ln>
          </c:spPr>
          <c:marker>
            <c:symbol val="none"/>
          </c:marker>
          <c:cat>
            <c:numRef>
              <c:f>'Group 10'!$E$195:$I$195</c:f>
              <c:numCache>
                <c:formatCode>General</c:formatCode>
                <c:ptCount val="5"/>
                <c:pt idx="0">
                  <c:v>2009</c:v>
                </c:pt>
                <c:pt idx="1">
                  <c:v>2010</c:v>
                </c:pt>
                <c:pt idx="2">
                  <c:v>2011</c:v>
                </c:pt>
                <c:pt idx="3">
                  <c:v>2012</c:v>
                </c:pt>
                <c:pt idx="4">
                  <c:v>2016</c:v>
                </c:pt>
              </c:numCache>
            </c:numRef>
          </c:cat>
          <c:val>
            <c:numRef>
              <c:f>'Group 10'!$E$196:$I$196</c:f>
              <c:numCache>
                <c:formatCode>_(* #,##0.00_);_(* \(#,##0.00\);_(* "-"??_);_(@_)</c:formatCode>
                <c:ptCount val="5"/>
                <c:pt idx="0">
                  <c:v>4</c:v>
                </c:pt>
                <c:pt idx="1">
                  <c:v>4</c:v>
                </c:pt>
                <c:pt idx="2">
                  <c:v>4</c:v>
                </c:pt>
                <c:pt idx="3">
                  <c:v>4</c:v>
                </c:pt>
                <c:pt idx="4">
                  <c:v>4</c:v>
                </c:pt>
              </c:numCache>
            </c:numRef>
          </c:val>
          <c:smooth val="0"/>
        </c:ser>
        <c:ser>
          <c:idx val="1"/>
          <c:order val="1"/>
          <c:tx>
            <c:strRef>
              <c:f>'Group 10'!$A$197</c:f>
              <c:strCache>
                <c:ptCount val="1"/>
                <c:pt idx="0">
                  <c:v>Highest</c:v>
                </c:pt>
              </c:strCache>
            </c:strRef>
          </c:tx>
          <c:spPr>
            <a:ln>
              <a:solidFill>
                <a:srgbClr val="92B3F4"/>
              </a:solidFill>
            </a:ln>
          </c:spPr>
          <c:marker>
            <c:symbol val="none"/>
          </c:marker>
          <c:dPt>
            <c:idx val="4"/>
            <c:marker>
              <c:symbol val="diamond"/>
              <c:size val="7"/>
              <c:spPr>
                <a:solidFill>
                  <a:srgbClr val="92B3F4"/>
                </a:solidFill>
                <a:ln>
                  <a:solidFill>
                    <a:srgbClr val="92B3F4"/>
                  </a:solidFill>
                </a:ln>
              </c:spPr>
            </c:marker>
            <c:bubble3D val="0"/>
            <c:spPr>
              <a:ln>
                <a:noFill/>
              </a:ln>
            </c:spPr>
          </c:dPt>
          <c:cat>
            <c:numRef>
              <c:f>'Group 10'!$E$195:$I$195</c:f>
              <c:numCache>
                <c:formatCode>General</c:formatCode>
                <c:ptCount val="5"/>
                <c:pt idx="0">
                  <c:v>2009</c:v>
                </c:pt>
                <c:pt idx="1">
                  <c:v>2010</c:v>
                </c:pt>
                <c:pt idx="2">
                  <c:v>2011</c:v>
                </c:pt>
                <c:pt idx="3">
                  <c:v>2012</c:v>
                </c:pt>
                <c:pt idx="4">
                  <c:v>2016</c:v>
                </c:pt>
              </c:numCache>
            </c:numRef>
          </c:cat>
          <c:val>
            <c:numRef>
              <c:f>'Group 10'!$E$197:$I$197</c:f>
              <c:numCache>
                <c:formatCode>_(* #,##0.00_);_(* \(#,##0.00\);_(* "-"??_);_(@_)</c:formatCode>
                <c:ptCount val="5"/>
                <c:pt idx="0">
                  <c:v>77.028571428571425</c:v>
                </c:pt>
                <c:pt idx="1">
                  <c:v>84.266666666666666</c:v>
                </c:pt>
                <c:pt idx="2">
                  <c:v>89.534482758620683</c:v>
                </c:pt>
                <c:pt idx="3">
                  <c:v>129.27083333333334</c:v>
                </c:pt>
                <c:pt idx="4">
                  <c:v>424.47112637361005</c:v>
                </c:pt>
              </c:numCache>
            </c:numRef>
          </c:val>
          <c:smooth val="0"/>
        </c:ser>
        <c:ser>
          <c:idx val="2"/>
          <c:order val="2"/>
          <c:tx>
            <c:strRef>
              <c:f>'Group 10'!$A$198</c:f>
              <c:strCache>
                <c:ptCount val="1"/>
                <c:pt idx="0">
                  <c:v>Average</c:v>
                </c:pt>
              </c:strCache>
            </c:strRef>
          </c:tx>
          <c:spPr>
            <a:ln>
              <a:solidFill>
                <a:srgbClr val="3975EB"/>
              </a:solidFill>
            </a:ln>
          </c:spPr>
          <c:marker>
            <c:symbol val="none"/>
          </c:marker>
          <c:dPt>
            <c:idx val="4"/>
            <c:marker>
              <c:symbol val="diamond"/>
              <c:size val="7"/>
              <c:spPr>
                <a:solidFill>
                  <a:srgbClr val="3975EB"/>
                </a:solidFill>
                <a:ln>
                  <a:solidFill>
                    <a:srgbClr val="3975EB"/>
                  </a:solidFill>
                </a:ln>
              </c:spPr>
            </c:marker>
            <c:bubble3D val="0"/>
            <c:spPr>
              <a:ln>
                <a:noFill/>
              </a:ln>
            </c:spPr>
          </c:dPt>
          <c:cat>
            <c:numRef>
              <c:f>'Group 10'!$E$195:$I$195</c:f>
              <c:numCache>
                <c:formatCode>General</c:formatCode>
                <c:ptCount val="5"/>
                <c:pt idx="0">
                  <c:v>2009</c:v>
                </c:pt>
                <c:pt idx="1">
                  <c:v>2010</c:v>
                </c:pt>
                <c:pt idx="2">
                  <c:v>2011</c:v>
                </c:pt>
                <c:pt idx="3">
                  <c:v>2012</c:v>
                </c:pt>
                <c:pt idx="4">
                  <c:v>2016</c:v>
                </c:pt>
              </c:numCache>
            </c:numRef>
          </c:cat>
          <c:val>
            <c:numRef>
              <c:f>'Group 10'!$E$198:$I$198</c:f>
              <c:numCache>
                <c:formatCode>_(* #,##0.00_);_(* \(#,##0.00\);_(* "-"??_);_(@_)</c:formatCode>
                <c:ptCount val="5"/>
                <c:pt idx="0">
                  <c:v>35.07601377864119</c:v>
                </c:pt>
                <c:pt idx="1">
                  <c:v>42.922424181294318</c:v>
                </c:pt>
                <c:pt idx="2">
                  <c:v>31.275345970541284</c:v>
                </c:pt>
                <c:pt idx="3">
                  <c:v>36.692401497773297</c:v>
                </c:pt>
                <c:pt idx="4">
                  <c:v>33.734112248871483</c:v>
                </c:pt>
              </c:numCache>
            </c:numRef>
          </c:val>
          <c:smooth val="0"/>
        </c:ser>
        <c:ser>
          <c:idx val="3"/>
          <c:order val="3"/>
          <c:tx>
            <c:strRef>
              <c:f>'Group 10'!$A$199</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a:ln>
                  <a:solidFill>
                    <a:srgbClr val="0B1E6E"/>
                  </a:solidFill>
                </a:ln>
              </c:spPr>
            </c:marker>
            <c:bubble3D val="0"/>
            <c:spPr>
              <a:ln>
                <a:noFill/>
              </a:ln>
            </c:spPr>
          </c:dPt>
          <c:cat>
            <c:numRef>
              <c:f>'Group 10'!$E$195:$I$195</c:f>
              <c:numCache>
                <c:formatCode>General</c:formatCode>
                <c:ptCount val="5"/>
                <c:pt idx="0">
                  <c:v>2009</c:v>
                </c:pt>
                <c:pt idx="1">
                  <c:v>2010</c:v>
                </c:pt>
                <c:pt idx="2">
                  <c:v>2011</c:v>
                </c:pt>
                <c:pt idx="3">
                  <c:v>2012</c:v>
                </c:pt>
                <c:pt idx="4">
                  <c:v>2016</c:v>
                </c:pt>
              </c:numCache>
            </c:numRef>
          </c:cat>
          <c:val>
            <c:numRef>
              <c:f>'Group 10'!$E$199:$I$199</c:f>
              <c:numCache>
                <c:formatCode>_(* #,##0.00_);_(* \(#,##0.00\);_(* "-"??_);_(@_)</c:formatCode>
                <c:ptCount val="5"/>
                <c:pt idx="0">
                  <c:v>8.3869209809264298</c:v>
                </c:pt>
                <c:pt idx="1">
                  <c:v>10.705992509363297</c:v>
                </c:pt>
                <c:pt idx="2">
                  <c:v>8.5102362204724411</c:v>
                </c:pt>
                <c:pt idx="3">
                  <c:v>5.6967821782178216</c:v>
                </c:pt>
                <c:pt idx="4">
                  <c:v>-1.2119914346895075</c:v>
                </c:pt>
              </c:numCache>
            </c:numRef>
          </c:val>
          <c:smooth val="0"/>
        </c:ser>
        <c:dLbls>
          <c:showLegendKey val="0"/>
          <c:showVal val="0"/>
          <c:showCatName val="0"/>
          <c:showSerName val="0"/>
          <c:showPercent val="0"/>
          <c:showBubbleSize val="0"/>
        </c:dLbls>
        <c:marker val="1"/>
        <c:smooth val="0"/>
        <c:axId val="91799936"/>
        <c:axId val="91801472"/>
      </c:lineChart>
      <c:catAx>
        <c:axId val="91799936"/>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1801472"/>
        <c:crosses val="autoZero"/>
        <c:auto val="1"/>
        <c:lblAlgn val="ctr"/>
        <c:lblOffset val="100"/>
        <c:noMultiLvlLbl val="0"/>
      </c:catAx>
      <c:valAx>
        <c:axId val="91801472"/>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1799936"/>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20 - Capital Expenditure Ratio Comparison</a:t>
            </a:r>
          </a:p>
        </c:rich>
      </c:tx>
      <c:layout>
        <c:manualLayout>
          <c:xMode val="edge"/>
          <c:yMode val="edge"/>
          <c:x val="6.5966754155737822E-4"/>
          <c:y val="3.2407407407409529E-2"/>
        </c:manualLayout>
      </c:layout>
      <c:overlay val="0"/>
    </c:title>
    <c:autoTitleDeleted val="0"/>
    <c:plotArea>
      <c:layout/>
      <c:lineChart>
        <c:grouping val="standard"/>
        <c:varyColors val="0"/>
        <c:ser>
          <c:idx val="0"/>
          <c:order val="0"/>
          <c:tx>
            <c:strRef>
              <c:f>'Group 10'!$A$229</c:f>
              <c:strCache>
                <c:ptCount val="1"/>
                <c:pt idx="0">
                  <c:v>Benchmark</c:v>
                </c:pt>
              </c:strCache>
            </c:strRef>
          </c:tx>
          <c:spPr>
            <a:ln>
              <a:solidFill>
                <a:srgbClr val="C2121D"/>
              </a:solidFill>
              <a:prstDash val="sysDash"/>
            </a:ln>
          </c:spPr>
          <c:marker>
            <c:symbol val="none"/>
          </c:marker>
          <c:cat>
            <c:numRef>
              <c:f>'Group 10'!$E$228:$I$228</c:f>
              <c:numCache>
                <c:formatCode>General</c:formatCode>
                <c:ptCount val="5"/>
                <c:pt idx="0">
                  <c:v>2009</c:v>
                </c:pt>
                <c:pt idx="1">
                  <c:v>2010</c:v>
                </c:pt>
                <c:pt idx="2">
                  <c:v>2011</c:v>
                </c:pt>
                <c:pt idx="3">
                  <c:v>2012</c:v>
                </c:pt>
                <c:pt idx="4">
                  <c:v>2016</c:v>
                </c:pt>
              </c:numCache>
            </c:numRef>
          </c:cat>
          <c:val>
            <c:numRef>
              <c:f>'Group 10'!$E$229:$I$229</c:f>
              <c:numCache>
                <c:formatCode>_(* #,##0.00_);_(* \(#,##0.00\);_(* "-"??_);_(@_)</c:formatCode>
                <c:ptCount val="5"/>
                <c:pt idx="0">
                  <c:v>1.1000000000000001</c:v>
                </c:pt>
                <c:pt idx="1">
                  <c:v>1.1000000000000001</c:v>
                </c:pt>
                <c:pt idx="2">
                  <c:v>1.1000000000000001</c:v>
                </c:pt>
                <c:pt idx="3">
                  <c:v>1.1000000000000001</c:v>
                </c:pt>
                <c:pt idx="4">
                  <c:v>1.1000000000000001</c:v>
                </c:pt>
              </c:numCache>
            </c:numRef>
          </c:val>
          <c:smooth val="0"/>
        </c:ser>
        <c:ser>
          <c:idx val="1"/>
          <c:order val="1"/>
          <c:tx>
            <c:strRef>
              <c:f>'Group 10'!$A$230</c:f>
              <c:strCache>
                <c:ptCount val="1"/>
                <c:pt idx="0">
                  <c:v>Highest</c:v>
                </c:pt>
              </c:strCache>
            </c:strRef>
          </c:tx>
          <c:spPr>
            <a:ln>
              <a:solidFill>
                <a:srgbClr val="92B3F4"/>
              </a:solidFill>
            </a:ln>
          </c:spPr>
          <c:marker>
            <c:symbol val="none"/>
          </c:marker>
          <c:dPt>
            <c:idx val="3"/>
            <c:bubble3D val="0"/>
          </c:dPt>
          <c:dPt>
            <c:idx val="4"/>
            <c:marker>
              <c:symbol val="diamond"/>
              <c:size val="7"/>
              <c:spPr>
                <a:solidFill>
                  <a:srgbClr val="92B3F4"/>
                </a:solidFill>
                <a:ln>
                  <a:solidFill>
                    <a:srgbClr val="92B3F4"/>
                  </a:solidFill>
                </a:ln>
              </c:spPr>
            </c:marker>
            <c:bubble3D val="0"/>
            <c:spPr>
              <a:ln>
                <a:noFill/>
              </a:ln>
            </c:spPr>
          </c:dPt>
          <c:cat>
            <c:numRef>
              <c:f>'Group 10'!$E$228:$I$228</c:f>
              <c:numCache>
                <c:formatCode>General</c:formatCode>
                <c:ptCount val="5"/>
                <c:pt idx="0">
                  <c:v>2009</c:v>
                </c:pt>
                <c:pt idx="1">
                  <c:v>2010</c:v>
                </c:pt>
                <c:pt idx="2">
                  <c:v>2011</c:v>
                </c:pt>
                <c:pt idx="3">
                  <c:v>2012</c:v>
                </c:pt>
                <c:pt idx="4">
                  <c:v>2016</c:v>
                </c:pt>
              </c:numCache>
            </c:numRef>
          </c:cat>
          <c:val>
            <c:numRef>
              <c:f>'Group 10'!$E$230:$I$230</c:f>
              <c:numCache>
                <c:formatCode>_(* #,##0.00_);_(* \(#,##0.00\);_(* "-"??_);_(@_)</c:formatCode>
                <c:ptCount val="5"/>
                <c:pt idx="0">
                  <c:v>3.5552617662612374</c:v>
                </c:pt>
                <c:pt idx="1">
                  <c:v>3.182010582010582</c:v>
                </c:pt>
                <c:pt idx="2">
                  <c:v>1.4660166332090623</c:v>
                </c:pt>
                <c:pt idx="3">
                  <c:v>1.1548347613219094</c:v>
                </c:pt>
                <c:pt idx="4">
                  <c:v>1.2839685772475997</c:v>
                </c:pt>
              </c:numCache>
            </c:numRef>
          </c:val>
          <c:smooth val="0"/>
        </c:ser>
        <c:ser>
          <c:idx val="2"/>
          <c:order val="2"/>
          <c:tx>
            <c:strRef>
              <c:f>'Group 10'!$A$231</c:f>
              <c:strCache>
                <c:ptCount val="1"/>
                <c:pt idx="0">
                  <c:v>Average</c:v>
                </c:pt>
              </c:strCache>
            </c:strRef>
          </c:tx>
          <c:spPr>
            <a:ln>
              <a:solidFill>
                <a:srgbClr val="3975EB"/>
              </a:solidFill>
            </a:ln>
          </c:spPr>
          <c:marker>
            <c:symbol val="none"/>
          </c:marker>
          <c:dPt>
            <c:idx val="4"/>
            <c:marker>
              <c:symbol val="diamond"/>
              <c:size val="7"/>
              <c:spPr>
                <a:solidFill>
                  <a:srgbClr val="3975EB"/>
                </a:solidFill>
                <a:ln>
                  <a:solidFill>
                    <a:srgbClr val="3975EB"/>
                  </a:solidFill>
                </a:ln>
              </c:spPr>
            </c:marker>
            <c:bubble3D val="0"/>
            <c:spPr>
              <a:ln>
                <a:noFill/>
              </a:ln>
            </c:spPr>
          </c:dPt>
          <c:cat>
            <c:numRef>
              <c:f>'Group 10'!$E$228:$I$228</c:f>
              <c:numCache>
                <c:formatCode>General</c:formatCode>
                <c:ptCount val="5"/>
                <c:pt idx="0">
                  <c:v>2009</c:v>
                </c:pt>
                <c:pt idx="1">
                  <c:v>2010</c:v>
                </c:pt>
                <c:pt idx="2">
                  <c:v>2011</c:v>
                </c:pt>
                <c:pt idx="3">
                  <c:v>2012</c:v>
                </c:pt>
                <c:pt idx="4">
                  <c:v>2016</c:v>
                </c:pt>
              </c:numCache>
            </c:numRef>
          </c:cat>
          <c:val>
            <c:numRef>
              <c:f>'Group 10'!$E$231:$I$231</c:f>
              <c:numCache>
                <c:formatCode>_(* #,##0.00_);_(* \(#,##0.00\);_(* "-"??_);_(@_)</c:formatCode>
                <c:ptCount val="5"/>
                <c:pt idx="0">
                  <c:v>1.831944656287491</c:v>
                </c:pt>
                <c:pt idx="1">
                  <c:v>1.5462286475162241</c:v>
                </c:pt>
                <c:pt idx="2">
                  <c:v>0.93684038144445037</c:v>
                </c:pt>
                <c:pt idx="3">
                  <c:v>0.9967660741258132</c:v>
                </c:pt>
                <c:pt idx="4">
                  <c:v>0.97502171027526996</c:v>
                </c:pt>
              </c:numCache>
            </c:numRef>
          </c:val>
          <c:smooth val="0"/>
        </c:ser>
        <c:ser>
          <c:idx val="3"/>
          <c:order val="3"/>
          <c:tx>
            <c:strRef>
              <c:f>'Group 10'!$A$232</c:f>
              <c:strCache>
                <c:ptCount val="1"/>
                <c:pt idx="0">
                  <c:v>Gwydir Shire Council</c:v>
                </c:pt>
              </c:strCache>
            </c:strRef>
          </c:tx>
          <c:spPr>
            <a:ln>
              <a:solidFill>
                <a:srgbClr val="0B1E6E"/>
              </a:solidFill>
            </a:ln>
          </c:spPr>
          <c:marker>
            <c:symbol val="none"/>
          </c:marker>
          <c:dPt>
            <c:idx val="4"/>
            <c:marker>
              <c:symbol val="diamond"/>
              <c:size val="7"/>
              <c:spPr>
                <a:solidFill>
                  <a:srgbClr val="0B1E6E"/>
                </a:solidFill>
                <a:ln>
                  <a:solidFill>
                    <a:srgbClr val="0B1E6E"/>
                  </a:solidFill>
                </a:ln>
              </c:spPr>
            </c:marker>
            <c:bubble3D val="0"/>
            <c:spPr>
              <a:ln>
                <a:noFill/>
              </a:ln>
            </c:spPr>
          </c:dPt>
          <c:cat>
            <c:numRef>
              <c:f>'Group 10'!$E$228:$I$228</c:f>
              <c:numCache>
                <c:formatCode>General</c:formatCode>
                <c:ptCount val="5"/>
                <c:pt idx="0">
                  <c:v>2009</c:v>
                </c:pt>
                <c:pt idx="1">
                  <c:v>2010</c:v>
                </c:pt>
                <c:pt idx="2">
                  <c:v>2011</c:v>
                </c:pt>
                <c:pt idx="3">
                  <c:v>2012</c:v>
                </c:pt>
                <c:pt idx="4">
                  <c:v>2016</c:v>
                </c:pt>
              </c:numCache>
            </c:numRef>
          </c:cat>
          <c:val>
            <c:numRef>
              <c:f>'Group 10'!$E$232:$I$232</c:f>
              <c:numCache>
                <c:formatCode>_(* #,##0.00_);_(* \(#,##0.00\);_(* "-"??_);_(@_)</c:formatCode>
                <c:ptCount val="5"/>
                <c:pt idx="0">
                  <c:v>0.56444786456329354</c:v>
                </c:pt>
                <c:pt idx="1">
                  <c:v>0.67579617834394901</c:v>
                </c:pt>
                <c:pt idx="2">
                  <c:v>0.95259528825895423</c:v>
                </c:pt>
                <c:pt idx="3">
                  <c:v>0.58316337295168441</c:v>
                </c:pt>
                <c:pt idx="4">
                  <c:v>1.2894179894179894</c:v>
                </c:pt>
              </c:numCache>
            </c:numRef>
          </c:val>
          <c:smooth val="0"/>
        </c:ser>
        <c:dLbls>
          <c:showLegendKey val="0"/>
          <c:showVal val="0"/>
          <c:showCatName val="0"/>
          <c:showSerName val="0"/>
          <c:showPercent val="0"/>
          <c:showBubbleSize val="0"/>
        </c:dLbls>
        <c:marker val="1"/>
        <c:smooth val="0"/>
        <c:axId val="91826048"/>
        <c:axId val="91827584"/>
      </c:lineChart>
      <c:catAx>
        <c:axId val="91826048"/>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1827584"/>
        <c:crosses val="autoZero"/>
        <c:auto val="1"/>
        <c:lblAlgn val="ctr"/>
        <c:lblOffset val="100"/>
        <c:noMultiLvlLbl val="0"/>
      </c:catAx>
      <c:valAx>
        <c:axId val="91827584"/>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1826048"/>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21 - Asset Maintenance Ratio Comparison</a:t>
            </a:r>
          </a:p>
        </c:rich>
      </c:tx>
      <c:layout>
        <c:manualLayout>
          <c:xMode val="edge"/>
          <c:yMode val="edge"/>
          <c:x val="2.2222222222222292E-3"/>
          <c:y val="3.2407407407409529E-2"/>
        </c:manualLayout>
      </c:layout>
      <c:overlay val="0"/>
    </c:title>
    <c:autoTitleDeleted val="0"/>
    <c:plotArea>
      <c:layout/>
      <c:lineChart>
        <c:grouping val="standard"/>
        <c:varyColors val="0"/>
        <c:ser>
          <c:idx val="0"/>
          <c:order val="0"/>
          <c:tx>
            <c:strRef>
              <c:f>'Group 10'!$A$262</c:f>
              <c:strCache>
                <c:ptCount val="1"/>
                <c:pt idx="0">
                  <c:v>Benchmark</c:v>
                </c:pt>
              </c:strCache>
            </c:strRef>
          </c:tx>
          <c:spPr>
            <a:ln>
              <a:solidFill>
                <a:srgbClr val="C2121D"/>
              </a:solidFill>
              <a:prstDash val="sysDash"/>
            </a:ln>
          </c:spPr>
          <c:marker>
            <c:symbol val="none"/>
          </c:marker>
          <c:cat>
            <c:numRef>
              <c:f>'Group 10'!$E$261:$H$261</c:f>
              <c:numCache>
                <c:formatCode>General</c:formatCode>
                <c:ptCount val="4"/>
                <c:pt idx="0">
                  <c:v>2009</c:v>
                </c:pt>
                <c:pt idx="1">
                  <c:v>2010</c:v>
                </c:pt>
                <c:pt idx="2">
                  <c:v>2011</c:v>
                </c:pt>
                <c:pt idx="3">
                  <c:v>2012</c:v>
                </c:pt>
              </c:numCache>
            </c:numRef>
          </c:cat>
          <c:val>
            <c:numRef>
              <c:f>'Group 10'!$E$262:$H$262</c:f>
              <c:numCache>
                <c:formatCode>_(* #,##0.00_);_(* \(#,##0.00\);_(* "-"??_);_(@_)</c:formatCode>
                <c:ptCount val="4"/>
                <c:pt idx="0">
                  <c:v>1</c:v>
                </c:pt>
                <c:pt idx="1">
                  <c:v>1</c:v>
                </c:pt>
                <c:pt idx="2">
                  <c:v>1</c:v>
                </c:pt>
                <c:pt idx="3">
                  <c:v>1</c:v>
                </c:pt>
              </c:numCache>
            </c:numRef>
          </c:val>
          <c:smooth val="0"/>
        </c:ser>
        <c:ser>
          <c:idx val="1"/>
          <c:order val="1"/>
          <c:tx>
            <c:strRef>
              <c:f>'Group 10'!$A$263</c:f>
              <c:strCache>
                <c:ptCount val="1"/>
                <c:pt idx="0">
                  <c:v>Highest</c:v>
                </c:pt>
              </c:strCache>
            </c:strRef>
          </c:tx>
          <c:spPr>
            <a:ln>
              <a:solidFill>
                <a:srgbClr val="92B3F4"/>
              </a:solidFill>
            </a:ln>
          </c:spPr>
          <c:marker>
            <c:symbol val="none"/>
          </c:marker>
          <c:cat>
            <c:numRef>
              <c:f>'Group 10'!$E$261:$H$261</c:f>
              <c:numCache>
                <c:formatCode>General</c:formatCode>
                <c:ptCount val="4"/>
                <c:pt idx="0">
                  <c:v>2009</c:v>
                </c:pt>
                <c:pt idx="1">
                  <c:v>2010</c:v>
                </c:pt>
                <c:pt idx="2">
                  <c:v>2011</c:v>
                </c:pt>
                <c:pt idx="3">
                  <c:v>2012</c:v>
                </c:pt>
              </c:numCache>
            </c:numRef>
          </c:cat>
          <c:val>
            <c:numRef>
              <c:f>'Group 10'!$E$263:$H$263</c:f>
              <c:numCache>
                <c:formatCode>_(* #,##0.00_);_(* \(#,##0.00\);_(* "-"??_);_(@_)</c:formatCode>
                <c:ptCount val="4"/>
                <c:pt idx="0">
                  <c:v>1.5732436472346787</c:v>
                </c:pt>
                <c:pt idx="1">
                  <c:v>1.9053468208092486</c:v>
                </c:pt>
                <c:pt idx="2">
                  <c:v>0.91506379737192911</c:v>
                </c:pt>
                <c:pt idx="3">
                  <c:v>0.91487335745572274</c:v>
                </c:pt>
              </c:numCache>
            </c:numRef>
          </c:val>
          <c:smooth val="0"/>
        </c:ser>
        <c:ser>
          <c:idx val="2"/>
          <c:order val="2"/>
          <c:tx>
            <c:strRef>
              <c:f>'Group 10'!$A$264</c:f>
              <c:strCache>
                <c:ptCount val="1"/>
                <c:pt idx="0">
                  <c:v>Average</c:v>
                </c:pt>
              </c:strCache>
            </c:strRef>
          </c:tx>
          <c:spPr>
            <a:ln>
              <a:solidFill>
                <a:srgbClr val="3975EB"/>
              </a:solidFill>
            </a:ln>
          </c:spPr>
          <c:marker>
            <c:symbol val="none"/>
          </c:marker>
          <c:cat>
            <c:numRef>
              <c:f>'Group 10'!$E$261:$H$261</c:f>
              <c:numCache>
                <c:formatCode>General</c:formatCode>
                <c:ptCount val="4"/>
                <c:pt idx="0">
                  <c:v>2009</c:v>
                </c:pt>
                <c:pt idx="1">
                  <c:v>2010</c:v>
                </c:pt>
                <c:pt idx="2">
                  <c:v>2011</c:v>
                </c:pt>
                <c:pt idx="3">
                  <c:v>2012</c:v>
                </c:pt>
              </c:numCache>
            </c:numRef>
          </c:cat>
          <c:val>
            <c:numRef>
              <c:f>'Group 10'!$E$264:$H$264</c:f>
              <c:numCache>
                <c:formatCode>_(* #,##0.00_);_(* \(#,##0.00\);_(* "-"??_);_(@_)</c:formatCode>
                <c:ptCount val="4"/>
                <c:pt idx="0">
                  <c:v>0.80721667349430648</c:v>
                </c:pt>
                <c:pt idx="1">
                  <c:v>0.80621595748662445</c:v>
                </c:pt>
                <c:pt idx="2">
                  <c:v>0.84233505563686151</c:v>
                </c:pt>
                <c:pt idx="3">
                  <c:v>0.78782873528947495</c:v>
                </c:pt>
              </c:numCache>
            </c:numRef>
          </c:val>
          <c:smooth val="0"/>
        </c:ser>
        <c:ser>
          <c:idx val="3"/>
          <c:order val="3"/>
          <c:tx>
            <c:strRef>
              <c:f>'Group 10'!$A$265</c:f>
              <c:strCache>
                <c:ptCount val="1"/>
                <c:pt idx="0">
                  <c:v>Glen Innes Shire Council</c:v>
                </c:pt>
              </c:strCache>
            </c:strRef>
          </c:tx>
          <c:spPr>
            <a:ln>
              <a:solidFill>
                <a:srgbClr val="0B1E6E"/>
              </a:solidFill>
            </a:ln>
          </c:spPr>
          <c:marker>
            <c:symbol val="none"/>
          </c:marker>
          <c:cat>
            <c:numRef>
              <c:f>'Group 10'!$E$261:$H$261</c:f>
              <c:numCache>
                <c:formatCode>General</c:formatCode>
                <c:ptCount val="4"/>
                <c:pt idx="0">
                  <c:v>2009</c:v>
                </c:pt>
                <c:pt idx="1">
                  <c:v>2010</c:v>
                </c:pt>
                <c:pt idx="2">
                  <c:v>2011</c:v>
                </c:pt>
                <c:pt idx="3">
                  <c:v>2012</c:v>
                </c:pt>
              </c:numCache>
            </c:numRef>
          </c:cat>
          <c:val>
            <c:numRef>
              <c:f>'Group 10'!$E$265:$H$265</c:f>
              <c:numCache>
                <c:formatCode>_(* #,##0.00_);_(* \(#,##0.00\);_(* "-"??_);_(@_)</c:formatCode>
                <c:ptCount val="4"/>
                <c:pt idx="0">
                  <c:v>0.65938864628820959</c:v>
                </c:pt>
                <c:pt idx="1">
                  <c:v>0.62050967147681912</c:v>
                </c:pt>
                <c:pt idx="2">
                  <c:v>0.61635404454865184</c:v>
                </c:pt>
                <c:pt idx="3">
                  <c:v>0.62908264697529115</c:v>
                </c:pt>
              </c:numCache>
            </c:numRef>
          </c:val>
          <c:smooth val="0"/>
        </c:ser>
        <c:dLbls>
          <c:showLegendKey val="0"/>
          <c:showVal val="0"/>
          <c:showCatName val="0"/>
          <c:showSerName val="0"/>
          <c:showPercent val="0"/>
          <c:showBubbleSize val="0"/>
        </c:dLbls>
        <c:marker val="1"/>
        <c:smooth val="0"/>
        <c:axId val="91862912"/>
        <c:axId val="91864448"/>
      </c:lineChart>
      <c:catAx>
        <c:axId val="91862912"/>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1864448"/>
        <c:crosses val="autoZero"/>
        <c:auto val="1"/>
        <c:lblAlgn val="ctr"/>
        <c:lblOffset val="100"/>
        <c:noMultiLvlLbl val="0"/>
      </c:catAx>
      <c:valAx>
        <c:axId val="91864448"/>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1862912"/>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itchFamily="34" charset="0"/>
              </a:defRPr>
            </a:pPr>
            <a:r>
              <a:rPr lang="en-AU" sz="1100" b="0" u="sng">
                <a:latin typeface="Arial Narrow" pitchFamily="34" charset="0"/>
              </a:rPr>
              <a:t>Figure 22 - Infrastructure Backlog Ratio Comparison</a:t>
            </a:r>
          </a:p>
        </c:rich>
      </c:tx>
      <c:layout>
        <c:manualLayout>
          <c:xMode val="edge"/>
          <c:yMode val="edge"/>
          <c:x val="9.1458880139983247E-3"/>
          <c:y val="2.7777777777780496E-2"/>
        </c:manualLayout>
      </c:layout>
      <c:overlay val="0"/>
    </c:title>
    <c:autoTitleDeleted val="0"/>
    <c:plotArea>
      <c:layout/>
      <c:lineChart>
        <c:grouping val="standard"/>
        <c:varyColors val="0"/>
        <c:ser>
          <c:idx val="0"/>
          <c:order val="0"/>
          <c:tx>
            <c:strRef>
              <c:f>'Group 10'!$A$295</c:f>
              <c:strCache>
                <c:ptCount val="1"/>
                <c:pt idx="0">
                  <c:v>Benchmark</c:v>
                </c:pt>
              </c:strCache>
            </c:strRef>
          </c:tx>
          <c:spPr>
            <a:ln>
              <a:solidFill>
                <a:srgbClr val="C2121D"/>
              </a:solidFill>
              <a:prstDash val="sysDash"/>
            </a:ln>
          </c:spPr>
          <c:marker>
            <c:symbol val="none"/>
          </c:marker>
          <c:cat>
            <c:numRef>
              <c:f>'Group 10'!$E$294:$H$294</c:f>
              <c:numCache>
                <c:formatCode>General</c:formatCode>
                <c:ptCount val="4"/>
                <c:pt idx="0">
                  <c:v>2009</c:v>
                </c:pt>
                <c:pt idx="1">
                  <c:v>2010</c:v>
                </c:pt>
                <c:pt idx="2">
                  <c:v>2011</c:v>
                </c:pt>
                <c:pt idx="3">
                  <c:v>2012</c:v>
                </c:pt>
              </c:numCache>
            </c:numRef>
          </c:cat>
          <c:val>
            <c:numRef>
              <c:f>'Group 10'!$E$295:$H$295</c:f>
              <c:numCache>
                <c:formatCode>_(* #,##0.00_);_(* \(#,##0.00\);_(* "-"??_);_(@_)</c:formatCode>
                <c:ptCount val="4"/>
                <c:pt idx="0">
                  <c:v>0.02</c:v>
                </c:pt>
                <c:pt idx="1">
                  <c:v>0.02</c:v>
                </c:pt>
                <c:pt idx="2">
                  <c:v>0.02</c:v>
                </c:pt>
                <c:pt idx="3">
                  <c:v>0.02</c:v>
                </c:pt>
              </c:numCache>
            </c:numRef>
          </c:val>
          <c:smooth val="0"/>
        </c:ser>
        <c:ser>
          <c:idx val="1"/>
          <c:order val="1"/>
          <c:tx>
            <c:strRef>
              <c:f>'Group 10'!$A$296</c:f>
              <c:strCache>
                <c:ptCount val="1"/>
                <c:pt idx="0">
                  <c:v>Lowest</c:v>
                </c:pt>
              </c:strCache>
            </c:strRef>
          </c:tx>
          <c:spPr>
            <a:ln>
              <a:solidFill>
                <a:srgbClr val="92B3F4"/>
              </a:solidFill>
            </a:ln>
          </c:spPr>
          <c:marker>
            <c:symbol val="none"/>
          </c:marker>
          <c:cat>
            <c:numRef>
              <c:f>'Group 10'!$E$294:$H$294</c:f>
              <c:numCache>
                <c:formatCode>General</c:formatCode>
                <c:ptCount val="4"/>
                <c:pt idx="0">
                  <c:v>2009</c:v>
                </c:pt>
                <c:pt idx="1">
                  <c:v>2010</c:v>
                </c:pt>
                <c:pt idx="2">
                  <c:v>2011</c:v>
                </c:pt>
                <c:pt idx="3">
                  <c:v>2012</c:v>
                </c:pt>
              </c:numCache>
            </c:numRef>
          </c:cat>
          <c:val>
            <c:numRef>
              <c:f>'Group 10'!$E$296:$H$296</c:f>
              <c:numCache>
                <c:formatCode>_(* #,##0.00_);_(* \(#,##0.00\);_(* "-"??_);_(@_)</c:formatCode>
                <c:ptCount val="4"/>
                <c:pt idx="0">
                  <c:v>0</c:v>
                </c:pt>
                <c:pt idx="1">
                  <c:v>2.3873373013277521E-2</c:v>
                </c:pt>
                <c:pt idx="2">
                  <c:v>2.0702202989771833E-2</c:v>
                </c:pt>
                <c:pt idx="3">
                  <c:v>2.1116517028640217E-2</c:v>
                </c:pt>
              </c:numCache>
            </c:numRef>
          </c:val>
          <c:smooth val="0"/>
        </c:ser>
        <c:ser>
          <c:idx val="2"/>
          <c:order val="2"/>
          <c:tx>
            <c:strRef>
              <c:f>'Group 10'!$A$297</c:f>
              <c:strCache>
                <c:ptCount val="1"/>
                <c:pt idx="0">
                  <c:v>Average</c:v>
                </c:pt>
              </c:strCache>
            </c:strRef>
          </c:tx>
          <c:spPr>
            <a:ln>
              <a:solidFill>
                <a:srgbClr val="3975EB"/>
              </a:solidFill>
            </a:ln>
          </c:spPr>
          <c:marker>
            <c:symbol val="none"/>
          </c:marker>
          <c:cat>
            <c:numRef>
              <c:f>'Group 10'!$E$294:$H$294</c:f>
              <c:numCache>
                <c:formatCode>General</c:formatCode>
                <c:ptCount val="4"/>
                <c:pt idx="0">
                  <c:v>2009</c:v>
                </c:pt>
                <c:pt idx="1">
                  <c:v>2010</c:v>
                </c:pt>
                <c:pt idx="2">
                  <c:v>2011</c:v>
                </c:pt>
                <c:pt idx="3">
                  <c:v>2012</c:v>
                </c:pt>
              </c:numCache>
            </c:numRef>
          </c:cat>
          <c:val>
            <c:numRef>
              <c:f>'Group 10'!$E$297:$H$297</c:f>
              <c:numCache>
                <c:formatCode>_(* #,##0.00_);_(* \(#,##0.00\);_(* "-"??_);_(@_)</c:formatCode>
                <c:ptCount val="4"/>
                <c:pt idx="0">
                  <c:v>0.19045166457583337</c:v>
                </c:pt>
                <c:pt idx="1">
                  <c:v>0.14690844854163887</c:v>
                </c:pt>
                <c:pt idx="2">
                  <c:v>0.16734577728591435</c:v>
                </c:pt>
                <c:pt idx="3">
                  <c:v>0.1468846243474774</c:v>
                </c:pt>
              </c:numCache>
            </c:numRef>
          </c:val>
          <c:smooth val="0"/>
        </c:ser>
        <c:ser>
          <c:idx val="3"/>
          <c:order val="3"/>
          <c:tx>
            <c:strRef>
              <c:f>'Group 10'!$A$298</c:f>
              <c:strCache>
                <c:ptCount val="1"/>
                <c:pt idx="0">
                  <c:v>Gwydir Shire Council</c:v>
                </c:pt>
              </c:strCache>
            </c:strRef>
          </c:tx>
          <c:spPr>
            <a:ln>
              <a:solidFill>
                <a:srgbClr val="0B1E6E"/>
              </a:solidFill>
            </a:ln>
          </c:spPr>
          <c:marker>
            <c:symbol val="none"/>
          </c:marker>
          <c:cat>
            <c:numRef>
              <c:f>'Group 10'!$E$294:$H$294</c:f>
              <c:numCache>
                <c:formatCode>General</c:formatCode>
                <c:ptCount val="4"/>
                <c:pt idx="0">
                  <c:v>2009</c:v>
                </c:pt>
                <c:pt idx="1">
                  <c:v>2010</c:v>
                </c:pt>
                <c:pt idx="2">
                  <c:v>2011</c:v>
                </c:pt>
                <c:pt idx="3">
                  <c:v>2012</c:v>
                </c:pt>
              </c:numCache>
            </c:numRef>
          </c:cat>
          <c:val>
            <c:numRef>
              <c:f>'Group 10'!$E$298:$H$298</c:f>
              <c:numCache>
                <c:formatCode>_(* #,##0.00_);_(* \(#,##0.00\);_(* "-"??_);_(@_)</c:formatCode>
                <c:ptCount val="4"/>
                <c:pt idx="0">
                  <c:v>0.25750834260289213</c:v>
                </c:pt>
                <c:pt idx="1">
                  <c:v>0.27849329987215304</c:v>
                </c:pt>
                <c:pt idx="2">
                  <c:v>0.28858467139276428</c:v>
                </c:pt>
                <c:pt idx="3">
                  <c:v>0.32972411291264703</c:v>
                </c:pt>
              </c:numCache>
            </c:numRef>
          </c:val>
          <c:smooth val="0"/>
        </c:ser>
        <c:dLbls>
          <c:showLegendKey val="0"/>
          <c:showVal val="0"/>
          <c:showCatName val="0"/>
          <c:showSerName val="0"/>
          <c:showPercent val="0"/>
          <c:showBubbleSize val="0"/>
        </c:dLbls>
        <c:marker val="1"/>
        <c:smooth val="0"/>
        <c:axId val="92563328"/>
        <c:axId val="92564864"/>
      </c:lineChart>
      <c:catAx>
        <c:axId val="92563328"/>
        <c:scaling>
          <c:orientation val="minMax"/>
        </c:scaling>
        <c:delete val="0"/>
        <c:axPos val="b"/>
        <c:numFmt formatCode="General" sourceLinked="1"/>
        <c:majorTickMark val="out"/>
        <c:minorTickMark val="none"/>
        <c:tickLblPos val="nextTo"/>
        <c:txPr>
          <a:bodyPr/>
          <a:lstStyle/>
          <a:p>
            <a:pPr>
              <a:defRPr>
                <a:latin typeface="Arial Narrow" pitchFamily="34" charset="0"/>
              </a:defRPr>
            </a:pPr>
            <a:endParaRPr lang="en-US"/>
          </a:p>
        </c:txPr>
        <c:crossAx val="92564864"/>
        <c:crosses val="autoZero"/>
        <c:auto val="1"/>
        <c:lblAlgn val="ctr"/>
        <c:lblOffset val="100"/>
        <c:noMultiLvlLbl val="0"/>
      </c:catAx>
      <c:valAx>
        <c:axId val="92564864"/>
        <c:scaling>
          <c:orientation val="minMax"/>
        </c:scaling>
        <c:delete val="0"/>
        <c:axPos val="l"/>
        <c:majorGridlines/>
        <c:numFmt formatCode="_(* #,##0.00_);_(* \(#,##0.00\);_(* &quot;-&quot;??_);_(@_)" sourceLinked="1"/>
        <c:majorTickMark val="out"/>
        <c:minorTickMark val="none"/>
        <c:tickLblPos val="nextTo"/>
        <c:txPr>
          <a:bodyPr/>
          <a:lstStyle/>
          <a:p>
            <a:pPr>
              <a:defRPr>
                <a:latin typeface="Arial Narrow" pitchFamily="34" charset="0"/>
              </a:defRPr>
            </a:pPr>
            <a:endParaRPr lang="en-US"/>
          </a:p>
        </c:txPr>
        <c:crossAx val="92563328"/>
        <c:crosses val="autoZero"/>
        <c:crossBetween val="between"/>
      </c:valAx>
    </c:plotArea>
    <c:legend>
      <c:legendPos val="b"/>
      <c:overlay val="0"/>
      <c:txPr>
        <a:bodyPr/>
        <a:lstStyle/>
        <a:p>
          <a:pPr>
            <a:defRPr>
              <a:latin typeface="Arial Narrow"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332B-F63E-41B1-95F7-A9D3FA75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9019</Words>
  <Characters>49323</Characters>
  <Application>Microsoft Office Word</Application>
  <DocSecurity>4</DocSecurity>
  <Lines>1559</Lines>
  <Paragraphs>839</Paragraphs>
  <ScaleCrop>false</ScaleCrop>
  <HeadingPairs>
    <vt:vector size="2" baseType="variant">
      <vt:variant>
        <vt:lpstr>Title</vt:lpstr>
      </vt:variant>
      <vt:variant>
        <vt:i4>1</vt:i4>
      </vt:variant>
    </vt:vector>
  </HeadingPairs>
  <TitlesOfParts>
    <vt:vector size="1" baseType="lpstr">
      <vt:lpstr/>
    </vt:vector>
  </TitlesOfParts>
  <Company>NSW Treasury Corporation</Company>
  <LinksUpToDate>false</LinksUpToDate>
  <CharactersWithSpaces>57827</CharactersWithSpaces>
  <SharedDoc>false</SharedDoc>
  <HLinks>
    <vt:vector size="132" baseType="variant">
      <vt:variant>
        <vt:i4>1507380</vt:i4>
      </vt:variant>
      <vt:variant>
        <vt:i4>128</vt:i4>
      </vt:variant>
      <vt:variant>
        <vt:i4>0</vt:i4>
      </vt:variant>
      <vt:variant>
        <vt:i4>5</vt:i4>
      </vt:variant>
      <vt:variant>
        <vt:lpwstr/>
      </vt:variant>
      <vt:variant>
        <vt:lpwstr>_Toc326918032</vt:lpwstr>
      </vt:variant>
      <vt:variant>
        <vt:i4>1507380</vt:i4>
      </vt:variant>
      <vt:variant>
        <vt:i4>122</vt:i4>
      </vt:variant>
      <vt:variant>
        <vt:i4>0</vt:i4>
      </vt:variant>
      <vt:variant>
        <vt:i4>5</vt:i4>
      </vt:variant>
      <vt:variant>
        <vt:lpwstr/>
      </vt:variant>
      <vt:variant>
        <vt:lpwstr>_Toc326918031</vt:lpwstr>
      </vt:variant>
      <vt:variant>
        <vt:i4>1507380</vt:i4>
      </vt:variant>
      <vt:variant>
        <vt:i4>116</vt:i4>
      </vt:variant>
      <vt:variant>
        <vt:i4>0</vt:i4>
      </vt:variant>
      <vt:variant>
        <vt:i4>5</vt:i4>
      </vt:variant>
      <vt:variant>
        <vt:lpwstr/>
      </vt:variant>
      <vt:variant>
        <vt:lpwstr>_Toc326918030</vt:lpwstr>
      </vt:variant>
      <vt:variant>
        <vt:i4>1441844</vt:i4>
      </vt:variant>
      <vt:variant>
        <vt:i4>110</vt:i4>
      </vt:variant>
      <vt:variant>
        <vt:i4>0</vt:i4>
      </vt:variant>
      <vt:variant>
        <vt:i4>5</vt:i4>
      </vt:variant>
      <vt:variant>
        <vt:lpwstr/>
      </vt:variant>
      <vt:variant>
        <vt:lpwstr>_Toc326918029</vt:lpwstr>
      </vt:variant>
      <vt:variant>
        <vt:i4>1441844</vt:i4>
      </vt:variant>
      <vt:variant>
        <vt:i4>104</vt:i4>
      </vt:variant>
      <vt:variant>
        <vt:i4>0</vt:i4>
      </vt:variant>
      <vt:variant>
        <vt:i4>5</vt:i4>
      </vt:variant>
      <vt:variant>
        <vt:lpwstr/>
      </vt:variant>
      <vt:variant>
        <vt:lpwstr>_Toc326918028</vt:lpwstr>
      </vt:variant>
      <vt:variant>
        <vt:i4>1441844</vt:i4>
      </vt:variant>
      <vt:variant>
        <vt:i4>98</vt:i4>
      </vt:variant>
      <vt:variant>
        <vt:i4>0</vt:i4>
      </vt:variant>
      <vt:variant>
        <vt:i4>5</vt:i4>
      </vt:variant>
      <vt:variant>
        <vt:lpwstr/>
      </vt:variant>
      <vt:variant>
        <vt:lpwstr>_Toc326918027</vt:lpwstr>
      </vt:variant>
      <vt:variant>
        <vt:i4>1441844</vt:i4>
      </vt:variant>
      <vt:variant>
        <vt:i4>92</vt:i4>
      </vt:variant>
      <vt:variant>
        <vt:i4>0</vt:i4>
      </vt:variant>
      <vt:variant>
        <vt:i4>5</vt:i4>
      </vt:variant>
      <vt:variant>
        <vt:lpwstr/>
      </vt:variant>
      <vt:variant>
        <vt:lpwstr>_Toc326918026</vt:lpwstr>
      </vt:variant>
      <vt:variant>
        <vt:i4>1441844</vt:i4>
      </vt:variant>
      <vt:variant>
        <vt:i4>86</vt:i4>
      </vt:variant>
      <vt:variant>
        <vt:i4>0</vt:i4>
      </vt:variant>
      <vt:variant>
        <vt:i4>5</vt:i4>
      </vt:variant>
      <vt:variant>
        <vt:lpwstr/>
      </vt:variant>
      <vt:variant>
        <vt:lpwstr>_Toc326918025</vt:lpwstr>
      </vt:variant>
      <vt:variant>
        <vt:i4>1441844</vt:i4>
      </vt:variant>
      <vt:variant>
        <vt:i4>80</vt:i4>
      </vt:variant>
      <vt:variant>
        <vt:i4>0</vt:i4>
      </vt:variant>
      <vt:variant>
        <vt:i4>5</vt:i4>
      </vt:variant>
      <vt:variant>
        <vt:lpwstr/>
      </vt:variant>
      <vt:variant>
        <vt:lpwstr>_Toc326918024</vt:lpwstr>
      </vt:variant>
      <vt:variant>
        <vt:i4>1441844</vt:i4>
      </vt:variant>
      <vt:variant>
        <vt:i4>74</vt:i4>
      </vt:variant>
      <vt:variant>
        <vt:i4>0</vt:i4>
      </vt:variant>
      <vt:variant>
        <vt:i4>5</vt:i4>
      </vt:variant>
      <vt:variant>
        <vt:lpwstr/>
      </vt:variant>
      <vt:variant>
        <vt:lpwstr>_Toc326918023</vt:lpwstr>
      </vt:variant>
      <vt:variant>
        <vt:i4>1441844</vt:i4>
      </vt:variant>
      <vt:variant>
        <vt:i4>68</vt:i4>
      </vt:variant>
      <vt:variant>
        <vt:i4>0</vt:i4>
      </vt:variant>
      <vt:variant>
        <vt:i4>5</vt:i4>
      </vt:variant>
      <vt:variant>
        <vt:lpwstr/>
      </vt:variant>
      <vt:variant>
        <vt:lpwstr>_Toc326918022</vt:lpwstr>
      </vt:variant>
      <vt:variant>
        <vt:i4>1441844</vt:i4>
      </vt:variant>
      <vt:variant>
        <vt:i4>62</vt:i4>
      </vt:variant>
      <vt:variant>
        <vt:i4>0</vt:i4>
      </vt:variant>
      <vt:variant>
        <vt:i4>5</vt:i4>
      </vt:variant>
      <vt:variant>
        <vt:lpwstr/>
      </vt:variant>
      <vt:variant>
        <vt:lpwstr>_Toc326918021</vt:lpwstr>
      </vt:variant>
      <vt:variant>
        <vt:i4>1441844</vt:i4>
      </vt:variant>
      <vt:variant>
        <vt:i4>56</vt:i4>
      </vt:variant>
      <vt:variant>
        <vt:i4>0</vt:i4>
      </vt:variant>
      <vt:variant>
        <vt:i4>5</vt:i4>
      </vt:variant>
      <vt:variant>
        <vt:lpwstr/>
      </vt:variant>
      <vt:variant>
        <vt:lpwstr>_Toc326918020</vt:lpwstr>
      </vt:variant>
      <vt:variant>
        <vt:i4>1376308</vt:i4>
      </vt:variant>
      <vt:variant>
        <vt:i4>50</vt:i4>
      </vt:variant>
      <vt:variant>
        <vt:i4>0</vt:i4>
      </vt:variant>
      <vt:variant>
        <vt:i4>5</vt:i4>
      </vt:variant>
      <vt:variant>
        <vt:lpwstr/>
      </vt:variant>
      <vt:variant>
        <vt:lpwstr>_Toc326918019</vt:lpwstr>
      </vt:variant>
      <vt:variant>
        <vt:i4>1376308</vt:i4>
      </vt:variant>
      <vt:variant>
        <vt:i4>44</vt:i4>
      </vt:variant>
      <vt:variant>
        <vt:i4>0</vt:i4>
      </vt:variant>
      <vt:variant>
        <vt:i4>5</vt:i4>
      </vt:variant>
      <vt:variant>
        <vt:lpwstr/>
      </vt:variant>
      <vt:variant>
        <vt:lpwstr>_Toc326918018</vt:lpwstr>
      </vt:variant>
      <vt:variant>
        <vt:i4>1376308</vt:i4>
      </vt:variant>
      <vt:variant>
        <vt:i4>38</vt:i4>
      </vt:variant>
      <vt:variant>
        <vt:i4>0</vt:i4>
      </vt:variant>
      <vt:variant>
        <vt:i4>5</vt:i4>
      </vt:variant>
      <vt:variant>
        <vt:lpwstr/>
      </vt:variant>
      <vt:variant>
        <vt:lpwstr>_Toc326918017</vt:lpwstr>
      </vt:variant>
      <vt:variant>
        <vt:i4>1376308</vt:i4>
      </vt:variant>
      <vt:variant>
        <vt:i4>32</vt:i4>
      </vt:variant>
      <vt:variant>
        <vt:i4>0</vt:i4>
      </vt:variant>
      <vt:variant>
        <vt:i4>5</vt:i4>
      </vt:variant>
      <vt:variant>
        <vt:lpwstr/>
      </vt:variant>
      <vt:variant>
        <vt:lpwstr>_Toc326918016</vt:lpwstr>
      </vt:variant>
      <vt:variant>
        <vt:i4>1376308</vt:i4>
      </vt:variant>
      <vt:variant>
        <vt:i4>26</vt:i4>
      </vt:variant>
      <vt:variant>
        <vt:i4>0</vt:i4>
      </vt:variant>
      <vt:variant>
        <vt:i4>5</vt:i4>
      </vt:variant>
      <vt:variant>
        <vt:lpwstr/>
      </vt:variant>
      <vt:variant>
        <vt:lpwstr>_Toc326918015</vt:lpwstr>
      </vt:variant>
      <vt:variant>
        <vt:i4>1376308</vt:i4>
      </vt:variant>
      <vt:variant>
        <vt:i4>20</vt:i4>
      </vt:variant>
      <vt:variant>
        <vt:i4>0</vt:i4>
      </vt:variant>
      <vt:variant>
        <vt:i4>5</vt:i4>
      </vt:variant>
      <vt:variant>
        <vt:lpwstr/>
      </vt:variant>
      <vt:variant>
        <vt:lpwstr>_Toc326918014</vt:lpwstr>
      </vt:variant>
      <vt:variant>
        <vt:i4>1376308</vt:i4>
      </vt:variant>
      <vt:variant>
        <vt:i4>14</vt:i4>
      </vt:variant>
      <vt:variant>
        <vt:i4>0</vt:i4>
      </vt:variant>
      <vt:variant>
        <vt:i4>5</vt:i4>
      </vt:variant>
      <vt:variant>
        <vt:lpwstr/>
      </vt:variant>
      <vt:variant>
        <vt:lpwstr>_Toc326918013</vt:lpwstr>
      </vt:variant>
      <vt:variant>
        <vt:i4>1376308</vt:i4>
      </vt:variant>
      <vt:variant>
        <vt:i4>8</vt:i4>
      </vt:variant>
      <vt:variant>
        <vt:i4>0</vt:i4>
      </vt:variant>
      <vt:variant>
        <vt:i4>5</vt:i4>
      </vt:variant>
      <vt:variant>
        <vt:lpwstr/>
      </vt:variant>
      <vt:variant>
        <vt:lpwstr>_Toc326918012</vt:lpwstr>
      </vt:variant>
      <vt:variant>
        <vt:i4>1376308</vt:i4>
      </vt:variant>
      <vt:variant>
        <vt:i4>2</vt:i4>
      </vt:variant>
      <vt:variant>
        <vt:i4>0</vt:i4>
      </vt:variant>
      <vt:variant>
        <vt:i4>5</vt:i4>
      </vt:variant>
      <vt:variant>
        <vt:lpwstr/>
      </vt:variant>
      <vt:variant>
        <vt:lpwstr>_Toc326918011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AgnesC</dc:creator>
  <cp:lastModifiedBy>Ron Wood</cp:lastModifiedBy>
  <cp:revision>2</cp:revision>
  <cp:lastPrinted>2012-06-26T22:53:00Z</cp:lastPrinted>
  <dcterms:created xsi:type="dcterms:W3CDTF">2016-02-15T04:52:00Z</dcterms:created>
  <dcterms:modified xsi:type="dcterms:W3CDTF">2016-02-15T04:52:00Z</dcterms:modified>
</cp:coreProperties>
</file>