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01" w:rsidRDefault="00CF1AF0" w:rsidP="00CF1AF0">
      <w:pPr>
        <w:spacing w:after="0"/>
        <w:rPr>
          <w:rFonts w:cs="Arial"/>
          <w:b/>
          <w:sz w:val="28"/>
          <w:szCs w:val="28"/>
          <w:u w:val="single"/>
        </w:rPr>
      </w:pPr>
      <w:r>
        <w:rPr>
          <w:noProof/>
          <w:lang w:eastAsia="en-AU"/>
        </w:rPr>
        <w:drawing>
          <wp:inline distT="0" distB="0" distL="0" distR="0" wp14:anchorId="281D3B44" wp14:editId="04776FE1">
            <wp:extent cx="1984421"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 logo black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059" cy="695899"/>
                    </a:xfrm>
                    <a:prstGeom prst="rect">
                      <a:avLst/>
                    </a:prstGeom>
                  </pic:spPr>
                </pic:pic>
              </a:graphicData>
            </a:graphic>
          </wp:inline>
        </w:drawing>
      </w:r>
    </w:p>
    <w:p w:rsidR="00F93DEF" w:rsidRPr="00CF1AF0" w:rsidRDefault="00F93DEF" w:rsidP="009D2666">
      <w:pPr>
        <w:pStyle w:val="Title"/>
      </w:pPr>
    </w:p>
    <w:p w:rsidR="009C0208" w:rsidRDefault="009C0208" w:rsidP="009C0208">
      <w:pPr>
        <w:pStyle w:val="Title"/>
        <w:rPr>
          <w:rFonts w:ascii="Arial" w:hAnsi="Arial" w:cs="Arial"/>
          <w:color w:val="31849B" w:themeColor="accent5" w:themeShade="BF"/>
          <w:sz w:val="44"/>
          <w:szCs w:val="44"/>
        </w:rPr>
      </w:pPr>
      <w:r w:rsidRPr="00F93DEF">
        <w:rPr>
          <w:rFonts w:ascii="Arial" w:hAnsi="Arial" w:cs="Arial"/>
          <w:color w:val="31849B" w:themeColor="accent5" w:themeShade="BF"/>
          <w:sz w:val="44"/>
          <w:szCs w:val="44"/>
        </w:rPr>
        <w:t>Frequently Asked Questions (FAQ)</w:t>
      </w:r>
    </w:p>
    <w:p w:rsidR="00F93DEF" w:rsidRPr="00F93DEF" w:rsidRDefault="00F93DEF" w:rsidP="00F93DEF">
      <w:pPr>
        <w:pStyle w:val="Title"/>
        <w:rPr>
          <w:rFonts w:ascii="Arial" w:hAnsi="Arial" w:cs="Arial"/>
          <w:color w:val="31849B" w:themeColor="accent5" w:themeShade="BF"/>
          <w:sz w:val="40"/>
          <w:szCs w:val="40"/>
        </w:rPr>
      </w:pPr>
      <w:proofErr w:type="spellStart"/>
      <w:r w:rsidRPr="00F93DEF">
        <w:rPr>
          <w:rFonts w:ascii="Arial" w:hAnsi="Arial" w:cs="Arial"/>
          <w:color w:val="31849B" w:themeColor="accent5" w:themeShade="BF"/>
          <w:sz w:val="40"/>
          <w:szCs w:val="40"/>
        </w:rPr>
        <w:t>Jerberra</w:t>
      </w:r>
      <w:proofErr w:type="spellEnd"/>
      <w:r w:rsidRPr="00F93DEF">
        <w:rPr>
          <w:rFonts w:ascii="Arial" w:hAnsi="Arial" w:cs="Arial"/>
          <w:color w:val="31849B" w:themeColor="accent5" w:themeShade="BF"/>
          <w:sz w:val="40"/>
          <w:szCs w:val="40"/>
        </w:rPr>
        <w:t xml:space="preserve"> Estate, Proposed Special Rate</w:t>
      </w:r>
    </w:p>
    <w:p w:rsidR="00523934" w:rsidRPr="00F93DEF" w:rsidRDefault="00523934" w:rsidP="00F93DEF">
      <w:pPr>
        <w:pStyle w:val="Heading1"/>
        <w:numPr>
          <w:ilvl w:val="0"/>
          <w:numId w:val="21"/>
        </w:numPr>
        <w:rPr>
          <w:rStyle w:val="Strong"/>
          <w:rFonts w:ascii="Arial" w:hAnsi="Arial" w:cs="Arial"/>
          <w:b/>
          <w:color w:val="31849B" w:themeColor="accent5" w:themeShade="BF"/>
          <w:sz w:val="24"/>
          <w:szCs w:val="24"/>
        </w:rPr>
      </w:pPr>
      <w:bookmarkStart w:id="0" w:name="_Toc408815848"/>
      <w:r w:rsidRPr="00F93DEF">
        <w:rPr>
          <w:rStyle w:val="Strong"/>
          <w:rFonts w:ascii="Arial" w:hAnsi="Arial" w:cs="Arial"/>
          <w:b/>
          <w:color w:val="31849B" w:themeColor="accent5" w:themeShade="BF"/>
          <w:sz w:val="24"/>
          <w:szCs w:val="24"/>
        </w:rPr>
        <w:t>Why do landowners have to pay for the infrastructure?</w:t>
      </w:r>
      <w:r w:rsidR="008304CE" w:rsidRPr="00F93DEF">
        <w:rPr>
          <w:rStyle w:val="Strong"/>
          <w:rFonts w:ascii="Arial" w:hAnsi="Arial" w:cs="Arial"/>
          <w:b/>
          <w:color w:val="31849B" w:themeColor="accent5" w:themeShade="BF"/>
          <w:sz w:val="24"/>
          <w:szCs w:val="24"/>
        </w:rPr>
        <w:t xml:space="preserve">  Why can’t other rate payers across the city contribute?</w:t>
      </w:r>
      <w:bookmarkEnd w:id="0"/>
    </w:p>
    <w:p w:rsidR="00CF1AF0" w:rsidRDefault="00523934" w:rsidP="009B7222">
      <w:pPr>
        <w:pStyle w:val="ListParagraph"/>
        <w:numPr>
          <w:ilvl w:val="0"/>
          <w:numId w:val="22"/>
        </w:numPr>
        <w:spacing w:after="0"/>
        <w:jc w:val="both"/>
        <w:rPr>
          <w:rFonts w:cs="Arial"/>
          <w:sz w:val="22"/>
        </w:rPr>
      </w:pPr>
      <w:r w:rsidRPr="009B7222">
        <w:rPr>
          <w:rFonts w:cs="Arial"/>
          <w:sz w:val="22"/>
        </w:rPr>
        <w:t xml:space="preserve">Since resolving to investigate the Estate’s zoning in 1992, it has been Council’s position that the full cost of rezoning and providing infrastructure on the land is to be met by the landowners. </w:t>
      </w:r>
    </w:p>
    <w:p w:rsidR="009B7222" w:rsidRPr="00CF1AF0" w:rsidRDefault="00523934" w:rsidP="00CF1AF0">
      <w:pPr>
        <w:spacing w:after="0"/>
        <w:ind w:left="360"/>
        <w:jc w:val="both"/>
        <w:rPr>
          <w:rFonts w:cs="Arial"/>
          <w:sz w:val="22"/>
        </w:rPr>
      </w:pPr>
      <w:r w:rsidRPr="00CF1AF0">
        <w:rPr>
          <w:rFonts w:cs="Arial"/>
          <w:sz w:val="22"/>
        </w:rPr>
        <w:t xml:space="preserve"> </w:t>
      </w:r>
    </w:p>
    <w:p w:rsidR="00523934" w:rsidRPr="009B7222" w:rsidRDefault="008304CE" w:rsidP="009B7222">
      <w:pPr>
        <w:pStyle w:val="ListParagraph"/>
        <w:numPr>
          <w:ilvl w:val="0"/>
          <w:numId w:val="22"/>
        </w:numPr>
        <w:spacing w:after="0"/>
        <w:jc w:val="both"/>
        <w:rPr>
          <w:rFonts w:cs="Arial"/>
          <w:sz w:val="22"/>
        </w:rPr>
      </w:pPr>
      <w:r w:rsidRPr="009B7222">
        <w:rPr>
          <w:rFonts w:cs="Arial"/>
          <w:sz w:val="22"/>
        </w:rPr>
        <w:t>Special rates can only be levied on properties that will benefit from the works/services or will generate demand for the works/services.</w:t>
      </w:r>
    </w:p>
    <w:p w:rsidR="00F93DEF" w:rsidRPr="009B7222" w:rsidRDefault="00556F2A" w:rsidP="009B7222">
      <w:pPr>
        <w:pStyle w:val="Heading1"/>
        <w:numPr>
          <w:ilvl w:val="0"/>
          <w:numId w:val="21"/>
        </w:numPr>
        <w:rPr>
          <w:rFonts w:ascii="Arial" w:hAnsi="Arial" w:cs="Arial"/>
          <w:bCs w:val="0"/>
          <w:color w:val="31849B" w:themeColor="accent5" w:themeShade="BF"/>
          <w:sz w:val="24"/>
          <w:szCs w:val="24"/>
        </w:rPr>
      </w:pPr>
      <w:bookmarkStart w:id="1" w:name="_Toc408815849"/>
      <w:r w:rsidRPr="00F93DEF">
        <w:rPr>
          <w:rStyle w:val="Strong"/>
          <w:rFonts w:ascii="Arial" w:hAnsi="Arial" w:cs="Arial"/>
          <w:b/>
          <w:color w:val="31849B" w:themeColor="accent5" w:themeShade="BF"/>
          <w:sz w:val="24"/>
          <w:szCs w:val="24"/>
        </w:rPr>
        <w:t xml:space="preserve">Why can't </w:t>
      </w:r>
      <w:r w:rsidR="00C84B5D" w:rsidRPr="00F93DEF">
        <w:rPr>
          <w:rStyle w:val="Strong"/>
          <w:rFonts w:ascii="Arial" w:hAnsi="Arial" w:cs="Arial"/>
          <w:b/>
          <w:color w:val="31849B" w:themeColor="accent5" w:themeShade="BF"/>
          <w:sz w:val="24"/>
          <w:szCs w:val="24"/>
        </w:rPr>
        <w:t>C</w:t>
      </w:r>
      <w:r w:rsidRPr="00F93DEF">
        <w:rPr>
          <w:rStyle w:val="Strong"/>
          <w:rFonts w:ascii="Arial" w:hAnsi="Arial" w:cs="Arial"/>
          <w:b/>
          <w:color w:val="31849B" w:themeColor="accent5" w:themeShade="BF"/>
          <w:sz w:val="24"/>
          <w:szCs w:val="24"/>
        </w:rPr>
        <w:t>ouncil use general funds to pay for the work?</w:t>
      </w:r>
      <w:bookmarkEnd w:id="1"/>
    </w:p>
    <w:p w:rsidR="009B7222" w:rsidRDefault="00556F2A" w:rsidP="009B7222">
      <w:pPr>
        <w:pStyle w:val="ListParagraph"/>
        <w:numPr>
          <w:ilvl w:val="0"/>
          <w:numId w:val="23"/>
        </w:numPr>
        <w:spacing w:after="0"/>
        <w:jc w:val="both"/>
        <w:rPr>
          <w:rFonts w:cs="Arial"/>
          <w:sz w:val="22"/>
        </w:rPr>
      </w:pPr>
      <w:r w:rsidRPr="009B7222">
        <w:rPr>
          <w:rFonts w:cs="Arial"/>
          <w:sz w:val="22"/>
        </w:rPr>
        <w:t xml:space="preserve">Council does not have funds available to undertake the work.  </w:t>
      </w:r>
    </w:p>
    <w:p w:rsidR="00CF1AF0" w:rsidRPr="00CF1AF0" w:rsidRDefault="00CF1AF0" w:rsidP="00CF1AF0">
      <w:pPr>
        <w:spacing w:after="0"/>
        <w:ind w:left="360"/>
        <w:jc w:val="both"/>
        <w:rPr>
          <w:rFonts w:cs="Arial"/>
          <w:sz w:val="22"/>
        </w:rPr>
      </w:pPr>
    </w:p>
    <w:p w:rsidR="00556F2A" w:rsidRPr="009B7222" w:rsidRDefault="00556F2A" w:rsidP="009B7222">
      <w:pPr>
        <w:pStyle w:val="ListParagraph"/>
        <w:numPr>
          <w:ilvl w:val="0"/>
          <w:numId w:val="23"/>
        </w:numPr>
        <w:spacing w:after="0"/>
        <w:jc w:val="both"/>
        <w:rPr>
          <w:rFonts w:cs="Arial"/>
          <w:sz w:val="22"/>
        </w:rPr>
      </w:pPr>
      <w:r w:rsidRPr="009B7222">
        <w:rPr>
          <w:rFonts w:cs="Arial"/>
          <w:sz w:val="22"/>
        </w:rPr>
        <w:t xml:space="preserve">The only way the work </w:t>
      </w:r>
      <w:r w:rsidR="0080437A" w:rsidRPr="009B7222">
        <w:rPr>
          <w:rFonts w:cs="Arial"/>
          <w:sz w:val="22"/>
        </w:rPr>
        <w:t xml:space="preserve">can be funded by Council </w:t>
      </w:r>
      <w:r w:rsidRPr="009B7222">
        <w:rPr>
          <w:rFonts w:cs="Arial"/>
          <w:sz w:val="22"/>
        </w:rPr>
        <w:t xml:space="preserve">is </w:t>
      </w:r>
      <w:r w:rsidR="0080437A" w:rsidRPr="009B7222">
        <w:rPr>
          <w:rFonts w:cs="Arial"/>
          <w:sz w:val="22"/>
        </w:rPr>
        <w:t>through a special rate</w:t>
      </w:r>
      <w:r w:rsidR="00EB577B" w:rsidRPr="009B7222">
        <w:rPr>
          <w:rFonts w:cs="Arial"/>
          <w:sz w:val="22"/>
        </w:rPr>
        <w:t xml:space="preserve"> funded loan</w:t>
      </w:r>
      <w:r w:rsidRPr="009B7222">
        <w:rPr>
          <w:rFonts w:cs="Arial"/>
          <w:sz w:val="22"/>
        </w:rPr>
        <w:t>.</w:t>
      </w:r>
    </w:p>
    <w:p w:rsidR="00F93DEF" w:rsidRPr="009B7222" w:rsidRDefault="00F93DEF" w:rsidP="009B7222">
      <w:pPr>
        <w:pStyle w:val="Heading1"/>
        <w:numPr>
          <w:ilvl w:val="0"/>
          <w:numId w:val="21"/>
        </w:numPr>
        <w:rPr>
          <w:rFonts w:ascii="Arial" w:hAnsi="Arial" w:cs="Arial"/>
          <w:bCs w:val="0"/>
          <w:color w:val="31849B" w:themeColor="accent5" w:themeShade="BF"/>
          <w:sz w:val="24"/>
          <w:szCs w:val="24"/>
        </w:rPr>
      </w:pPr>
      <w:bookmarkStart w:id="2" w:name="_Toc408815847"/>
      <w:r w:rsidRPr="00F93DEF">
        <w:rPr>
          <w:rStyle w:val="Strong"/>
          <w:rFonts w:ascii="Arial" w:hAnsi="Arial" w:cs="Arial"/>
          <w:b/>
          <w:color w:val="31849B" w:themeColor="accent5" w:themeShade="BF"/>
          <w:sz w:val="24"/>
          <w:szCs w:val="24"/>
        </w:rPr>
        <w:t>What funding arrangements are proposed for the infrastructure development?</w:t>
      </w:r>
      <w:bookmarkEnd w:id="2"/>
    </w:p>
    <w:p w:rsidR="009B7222" w:rsidRDefault="00F93DEF" w:rsidP="009B7222">
      <w:pPr>
        <w:pStyle w:val="ListParagraph"/>
        <w:numPr>
          <w:ilvl w:val="0"/>
          <w:numId w:val="24"/>
        </w:numPr>
        <w:spacing w:after="0"/>
        <w:jc w:val="both"/>
        <w:rPr>
          <w:rFonts w:cs="Arial"/>
          <w:sz w:val="22"/>
        </w:rPr>
      </w:pPr>
      <w:r w:rsidRPr="009B7222">
        <w:rPr>
          <w:rFonts w:cs="Arial"/>
          <w:sz w:val="22"/>
        </w:rPr>
        <w:t xml:space="preserve">It is proposed that Council will borrow the money required to complete the work and recover this, including interest, through a special rate levy. </w:t>
      </w:r>
    </w:p>
    <w:p w:rsidR="00CF1AF0" w:rsidRPr="00CF1AF0" w:rsidRDefault="00CF1AF0" w:rsidP="00CF1AF0">
      <w:pPr>
        <w:spacing w:after="0"/>
        <w:ind w:left="360"/>
        <w:jc w:val="both"/>
        <w:rPr>
          <w:rFonts w:cs="Arial"/>
          <w:sz w:val="22"/>
        </w:rPr>
      </w:pPr>
    </w:p>
    <w:p w:rsidR="009B7222" w:rsidRDefault="00F93DEF" w:rsidP="009B7222">
      <w:pPr>
        <w:pStyle w:val="ListParagraph"/>
        <w:numPr>
          <w:ilvl w:val="0"/>
          <w:numId w:val="24"/>
        </w:numPr>
        <w:spacing w:after="0"/>
        <w:jc w:val="both"/>
        <w:rPr>
          <w:rFonts w:cs="Arial"/>
          <w:sz w:val="22"/>
        </w:rPr>
      </w:pPr>
      <w:r w:rsidRPr="009B7222">
        <w:rPr>
          <w:rFonts w:cs="Arial"/>
          <w:sz w:val="22"/>
        </w:rPr>
        <w:t xml:space="preserve">Before Council is able to borrow the money, it will need approval from the NSW Independent Pricing and Regulatory Tribunal (IPART) for a ‘Special Rate Variation’ (SRV).  </w:t>
      </w:r>
    </w:p>
    <w:p w:rsidR="00CF1AF0" w:rsidRPr="00CF1AF0" w:rsidRDefault="00CF1AF0" w:rsidP="00CF1AF0">
      <w:pPr>
        <w:spacing w:after="0"/>
        <w:ind w:left="360"/>
        <w:jc w:val="both"/>
        <w:rPr>
          <w:rFonts w:cs="Arial"/>
          <w:sz w:val="22"/>
        </w:rPr>
      </w:pPr>
    </w:p>
    <w:p w:rsidR="00F93DEF" w:rsidRPr="009B7222" w:rsidRDefault="00F93DEF" w:rsidP="009B7222">
      <w:pPr>
        <w:pStyle w:val="ListParagraph"/>
        <w:numPr>
          <w:ilvl w:val="0"/>
          <w:numId w:val="24"/>
        </w:numPr>
        <w:spacing w:after="0"/>
        <w:jc w:val="both"/>
        <w:rPr>
          <w:rFonts w:cs="Arial"/>
          <w:sz w:val="22"/>
        </w:rPr>
      </w:pPr>
      <w:r w:rsidRPr="009B7222">
        <w:rPr>
          <w:rFonts w:cs="Arial"/>
          <w:sz w:val="22"/>
        </w:rPr>
        <w:t xml:space="preserve">This approach provides financial certainty and allows the costs to be spread over a number of years. </w:t>
      </w:r>
    </w:p>
    <w:p w:rsidR="009B7222" w:rsidRPr="009B7222" w:rsidRDefault="0096157A" w:rsidP="009B7222">
      <w:pPr>
        <w:pStyle w:val="Heading1"/>
        <w:numPr>
          <w:ilvl w:val="0"/>
          <w:numId w:val="21"/>
        </w:numPr>
        <w:rPr>
          <w:rFonts w:ascii="Arial" w:hAnsi="Arial" w:cs="Arial"/>
          <w:bCs w:val="0"/>
          <w:color w:val="31849B" w:themeColor="accent5" w:themeShade="BF"/>
          <w:sz w:val="24"/>
          <w:szCs w:val="24"/>
        </w:rPr>
      </w:pPr>
      <w:bookmarkStart w:id="3" w:name="_Toc408815850"/>
      <w:r w:rsidRPr="009B7222">
        <w:rPr>
          <w:rStyle w:val="Strong"/>
          <w:rFonts w:ascii="Arial" w:hAnsi="Arial" w:cs="Arial"/>
          <w:b/>
          <w:color w:val="31849B" w:themeColor="accent5" w:themeShade="BF"/>
          <w:sz w:val="24"/>
          <w:szCs w:val="24"/>
        </w:rPr>
        <w:t>Why is Council seeking to provide infrastructure?</w:t>
      </w:r>
      <w:bookmarkEnd w:id="3"/>
      <w:r w:rsidRPr="009B7222">
        <w:rPr>
          <w:rStyle w:val="Strong"/>
          <w:rFonts w:ascii="Arial" w:hAnsi="Arial" w:cs="Arial"/>
          <w:b/>
          <w:color w:val="31849B" w:themeColor="accent5" w:themeShade="BF"/>
          <w:sz w:val="24"/>
          <w:szCs w:val="24"/>
        </w:rPr>
        <w:t xml:space="preserve">  </w:t>
      </w:r>
    </w:p>
    <w:p w:rsidR="009B7222" w:rsidRDefault="00EF24BA" w:rsidP="009B7222">
      <w:pPr>
        <w:pStyle w:val="ListParagraph"/>
        <w:numPr>
          <w:ilvl w:val="0"/>
          <w:numId w:val="25"/>
        </w:numPr>
        <w:spacing w:after="0"/>
        <w:jc w:val="both"/>
        <w:rPr>
          <w:rFonts w:cs="Arial"/>
          <w:sz w:val="22"/>
        </w:rPr>
      </w:pPr>
      <w:r w:rsidRPr="009B7222">
        <w:rPr>
          <w:rFonts w:cs="Arial"/>
          <w:sz w:val="22"/>
        </w:rPr>
        <w:t>The provision of sealed roads, road drainage, and electricity infrastructure will modernise the Estate</w:t>
      </w:r>
      <w:r w:rsidR="00F84C53" w:rsidRPr="009B7222">
        <w:rPr>
          <w:rFonts w:cs="Arial"/>
          <w:sz w:val="22"/>
        </w:rPr>
        <w:t>, enabling</w:t>
      </w:r>
      <w:r w:rsidRPr="009B7222">
        <w:rPr>
          <w:rFonts w:cs="Arial"/>
          <w:sz w:val="22"/>
        </w:rPr>
        <w:t xml:space="preserve"> the lots within it to be developed</w:t>
      </w:r>
      <w:r w:rsidR="00C84B5D" w:rsidRPr="009B7222">
        <w:rPr>
          <w:rFonts w:cs="Arial"/>
          <w:sz w:val="22"/>
        </w:rPr>
        <w:t xml:space="preserve"> under the </w:t>
      </w:r>
      <w:r w:rsidR="00F84C53" w:rsidRPr="009B7222">
        <w:rPr>
          <w:rFonts w:cs="Arial"/>
          <w:sz w:val="22"/>
        </w:rPr>
        <w:t xml:space="preserve">Estate’s new </w:t>
      </w:r>
      <w:r w:rsidR="00C84B5D" w:rsidRPr="009B7222">
        <w:rPr>
          <w:rFonts w:cs="Arial"/>
          <w:sz w:val="22"/>
        </w:rPr>
        <w:t>planning controls</w:t>
      </w:r>
      <w:r w:rsidRPr="009B7222">
        <w:rPr>
          <w:rFonts w:cs="Arial"/>
          <w:sz w:val="22"/>
        </w:rPr>
        <w:t xml:space="preserve">.  </w:t>
      </w:r>
    </w:p>
    <w:p w:rsidR="00CF1AF0" w:rsidRPr="00CF1AF0" w:rsidRDefault="00CF1AF0" w:rsidP="00CF1AF0">
      <w:pPr>
        <w:spacing w:after="0"/>
        <w:ind w:left="360"/>
        <w:jc w:val="both"/>
        <w:rPr>
          <w:rFonts w:cs="Arial"/>
          <w:sz w:val="22"/>
        </w:rPr>
      </w:pPr>
    </w:p>
    <w:p w:rsidR="00523934" w:rsidRPr="009B7222" w:rsidRDefault="004B1E8B" w:rsidP="009B7222">
      <w:pPr>
        <w:pStyle w:val="ListParagraph"/>
        <w:numPr>
          <w:ilvl w:val="0"/>
          <w:numId w:val="25"/>
        </w:numPr>
        <w:spacing w:after="0"/>
        <w:jc w:val="both"/>
        <w:rPr>
          <w:rFonts w:cs="Arial"/>
          <w:sz w:val="22"/>
        </w:rPr>
      </w:pPr>
      <w:r w:rsidRPr="009B7222">
        <w:rPr>
          <w:rFonts w:cs="Arial"/>
          <w:sz w:val="22"/>
        </w:rPr>
        <w:t>W</w:t>
      </w:r>
      <w:r w:rsidR="00B26757" w:rsidRPr="009B7222">
        <w:rPr>
          <w:rFonts w:cs="Arial"/>
          <w:sz w:val="22"/>
        </w:rPr>
        <w:t>ithout essential infras</w:t>
      </w:r>
      <w:r w:rsidRPr="009B7222">
        <w:rPr>
          <w:rFonts w:cs="Arial"/>
          <w:sz w:val="22"/>
        </w:rPr>
        <w:t>tructure, the Estate as a whole</w:t>
      </w:r>
      <w:r w:rsidR="00B26757" w:rsidRPr="009B7222">
        <w:rPr>
          <w:rFonts w:cs="Arial"/>
          <w:sz w:val="22"/>
        </w:rPr>
        <w:t xml:space="preserve"> cannot be safely developed. </w:t>
      </w:r>
      <w:r w:rsidR="00CE4C29" w:rsidRPr="009B7222">
        <w:rPr>
          <w:rFonts w:cs="Arial"/>
          <w:sz w:val="22"/>
        </w:rPr>
        <w:t xml:space="preserve">  </w:t>
      </w:r>
    </w:p>
    <w:p w:rsidR="000048FE" w:rsidRPr="009B7222" w:rsidRDefault="009C08AF" w:rsidP="009B7222">
      <w:pPr>
        <w:pStyle w:val="Heading1"/>
        <w:numPr>
          <w:ilvl w:val="0"/>
          <w:numId w:val="21"/>
        </w:numPr>
        <w:rPr>
          <w:rStyle w:val="Strong"/>
          <w:rFonts w:ascii="Arial" w:hAnsi="Arial" w:cs="Arial"/>
          <w:b/>
          <w:color w:val="31849B" w:themeColor="accent5" w:themeShade="BF"/>
          <w:sz w:val="24"/>
          <w:szCs w:val="24"/>
        </w:rPr>
      </w:pPr>
      <w:bookmarkStart w:id="4" w:name="_Toc408815851"/>
      <w:r w:rsidRPr="009B7222">
        <w:rPr>
          <w:rStyle w:val="Strong"/>
          <w:rFonts w:ascii="Arial" w:hAnsi="Arial" w:cs="Arial"/>
          <w:b/>
          <w:color w:val="31849B" w:themeColor="accent5" w:themeShade="BF"/>
          <w:sz w:val="24"/>
          <w:szCs w:val="24"/>
        </w:rPr>
        <w:t>How much is the infrastructure going to cost</w:t>
      </w:r>
      <w:r w:rsidR="000048FE" w:rsidRPr="009B7222">
        <w:rPr>
          <w:rStyle w:val="Strong"/>
          <w:rFonts w:ascii="Arial" w:hAnsi="Arial" w:cs="Arial"/>
          <w:b/>
          <w:color w:val="31849B" w:themeColor="accent5" w:themeShade="BF"/>
          <w:sz w:val="24"/>
          <w:szCs w:val="24"/>
        </w:rPr>
        <w:t>?</w:t>
      </w:r>
      <w:bookmarkEnd w:id="4"/>
    </w:p>
    <w:p w:rsidR="00CF1AF0" w:rsidRDefault="00971F49" w:rsidP="009B7222">
      <w:pPr>
        <w:pStyle w:val="ListParagraph"/>
        <w:numPr>
          <w:ilvl w:val="0"/>
          <w:numId w:val="26"/>
        </w:numPr>
        <w:spacing w:after="0"/>
        <w:jc w:val="both"/>
        <w:rPr>
          <w:rFonts w:cs="Arial"/>
          <w:sz w:val="22"/>
        </w:rPr>
      </w:pPr>
      <w:r w:rsidRPr="009B7222">
        <w:rPr>
          <w:rFonts w:cs="Arial"/>
          <w:sz w:val="22"/>
        </w:rPr>
        <w:t>Detailed designs and cost estimates were completed in August 2014.</w:t>
      </w:r>
    </w:p>
    <w:p w:rsidR="009B7222" w:rsidRPr="00CF1AF0" w:rsidRDefault="00971F49" w:rsidP="00CF1AF0">
      <w:pPr>
        <w:spacing w:after="0"/>
        <w:ind w:left="360"/>
        <w:jc w:val="both"/>
        <w:rPr>
          <w:rFonts w:cs="Arial"/>
          <w:sz w:val="22"/>
        </w:rPr>
      </w:pPr>
      <w:r w:rsidRPr="00CF1AF0">
        <w:rPr>
          <w:rFonts w:cs="Arial"/>
          <w:sz w:val="22"/>
        </w:rPr>
        <w:t xml:space="preserve"> </w:t>
      </w:r>
    </w:p>
    <w:p w:rsidR="009B7222" w:rsidRPr="004B0AD7" w:rsidRDefault="00406C4D" w:rsidP="004B0AD7">
      <w:pPr>
        <w:pStyle w:val="ListParagraph"/>
        <w:numPr>
          <w:ilvl w:val="0"/>
          <w:numId w:val="26"/>
        </w:numPr>
        <w:spacing w:after="0"/>
        <w:jc w:val="both"/>
        <w:rPr>
          <w:rFonts w:cs="Arial"/>
          <w:sz w:val="22"/>
        </w:rPr>
      </w:pPr>
      <w:r w:rsidRPr="009B7222">
        <w:rPr>
          <w:rFonts w:cs="Arial"/>
          <w:sz w:val="22"/>
        </w:rPr>
        <w:t xml:space="preserve">The total cost estimate is </w:t>
      </w:r>
      <w:r w:rsidR="000048FE" w:rsidRPr="009B7222">
        <w:rPr>
          <w:rFonts w:cs="Arial"/>
          <w:sz w:val="22"/>
        </w:rPr>
        <w:t>$7.2m</w:t>
      </w:r>
      <w:r w:rsidR="0080437A" w:rsidRPr="009B7222">
        <w:rPr>
          <w:rFonts w:cs="Arial"/>
          <w:sz w:val="22"/>
        </w:rPr>
        <w:t>, comprising</w:t>
      </w:r>
      <w:r w:rsidR="008304CE" w:rsidRPr="009B7222">
        <w:rPr>
          <w:rFonts w:cs="Arial"/>
          <w:sz w:val="22"/>
        </w:rPr>
        <w:t xml:space="preserve"> $5,434,400.00 for road infrastructure and $1,765,600.00 </w:t>
      </w:r>
      <w:r w:rsidRPr="009B7222">
        <w:rPr>
          <w:rFonts w:cs="Arial"/>
          <w:sz w:val="22"/>
        </w:rPr>
        <w:t>for electricity infrastructure.</w:t>
      </w:r>
      <w:r w:rsidR="00146701" w:rsidRPr="009B7222">
        <w:rPr>
          <w:rFonts w:cs="Arial"/>
          <w:sz w:val="22"/>
        </w:rPr>
        <w:t xml:space="preserve"> </w:t>
      </w:r>
      <w:bookmarkStart w:id="5" w:name="_GoBack"/>
      <w:bookmarkEnd w:id="5"/>
      <w:r w:rsidR="00146701" w:rsidRPr="004B0AD7">
        <w:rPr>
          <w:rFonts w:cs="Arial"/>
          <w:sz w:val="22"/>
        </w:rPr>
        <w:t xml:space="preserve"> </w:t>
      </w:r>
    </w:p>
    <w:p w:rsidR="009B7222" w:rsidRPr="00CF1AF0" w:rsidRDefault="00146701" w:rsidP="00CF1AF0">
      <w:pPr>
        <w:pStyle w:val="ListParagraph"/>
        <w:numPr>
          <w:ilvl w:val="0"/>
          <w:numId w:val="26"/>
        </w:numPr>
        <w:spacing w:after="0"/>
        <w:jc w:val="both"/>
        <w:rPr>
          <w:rFonts w:cs="Arial"/>
          <w:sz w:val="22"/>
        </w:rPr>
      </w:pPr>
      <w:r w:rsidRPr="009B7222">
        <w:rPr>
          <w:rFonts w:cs="Arial"/>
          <w:sz w:val="22"/>
        </w:rPr>
        <w:t>These amounts incl</w:t>
      </w:r>
      <w:r w:rsidR="009B7222">
        <w:rPr>
          <w:rFonts w:cs="Arial"/>
          <w:sz w:val="22"/>
        </w:rPr>
        <w:t xml:space="preserve">ude appropriate contingencies. </w:t>
      </w:r>
      <w:r w:rsidR="009B7222" w:rsidRPr="009B7222">
        <w:rPr>
          <w:rFonts w:cs="Arial"/>
          <w:sz w:val="22"/>
        </w:rPr>
        <w:t>(</w:t>
      </w:r>
      <w:r w:rsidRPr="009B7222">
        <w:rPr>
          <w:rFonts w:cs="Arial"/>
          <w:sz w:val="22"/>
        </w:rPr>
        <w:t>Note: if the actual cost is less, the special rates will be adjusted downwards</w:t>
      </w:r>
      <w:r w:rsidR="00F84C53" w:rsidRPr="009B7222">
        <w:rPr>
          <w:rFonts w:cs="Arial"/>
          <w:sz w:val="22"/>
        </w:rPr>
        <w:t xml:space="preserve"> once the work is completed</w:t>
      </w:r>
      <w:r w:rsidRPr="009B7222">
        <w:rPr>
          <w:rFonts w:cs="Arial"/>
          <w:sz w:val="22"/>
        </w:rPr>
        <w:t>.</w:t>
      </w:r>
      <w:r w:rsidR="009B7222" w:rsidRPr="009B7222">
        <w:rPr>
          <w:rFonts w:cs="Arial"/>
          <w:sz w:val="22"/>
        </w:rPr>
        <w:t>)</w:t>
      </w:r>
    </w:p>
    <w:p w:rsidR="00146701" w:rsidRPr="009B7222" w:rsidRDefault="009B7222" w:rsidP="009B7222">
      <w:pPr>
        <w:pStyle w:val="Heading1"/>
        <w:numPr>
          <w:ilvl w:val="0"/>
          <w:numId w:val="21"/>
        </w:numPr>
        <w:rPr>
          <w:rStyle w:val="Strong"/>
          <w:rFonts w:ascii="Arial" w:hAnsi="Arial" w:cs="Arial"/>
          <w:b/>
          <w:color w:val="31849B" w:themeColor="accent5" w:themeShade="BF"/>
          <w:sz w:val="24"/>
          <w:szCs w:val="24"/>
        </w:rPr>
      </w:pPr>
      <w:r w:rsidRPr="009B7222">
        <w:rPr>
          <w:rStyle w:val="Strong"/>
          <w:rFonts w:ascii="Arial" w:hAnsi="Arial" w:cs="Arial"/>
          <w:b/>
          <w:color w:val="31849B" w:themeColor="accent5" w:themeShade="BF"/>
          <w:sz w:val="24"/>
          <w:szCs w:val="24"/>
        </w:rPr>
        <w:lastRenderedPageBreak/>
        <w:t xml:space="preserve">Why does this cost differ from the </w:t>
      </w:r>
      <w:r>
        <w:rPr>
          <w:rStyle w:val="Strong"/>
          <w:rFonts w:ascii="Arial" w:hAnsi="Arial" w:cs="Arial"/>
          <w:b/>
          <w:color w:val="31849B" w:themeColor="accent5" w:themeShade="BF"/>
          <w:sz w:val="24"/>
          <w:szCs w:val="24"/>
        </w:rPr>
        <w:t>2012 Planning Proposal</w:t>
      </w:r>
      <w:r w:rsidRPr="009B7222">
        <w:rPr>
          <w:rStyle w:val="Strong"/>
          <w:rFonts w:ascii="Arial" w:hAnsi="Arial" w:cs="Arial"/>
          <w:b/>
          <w:color w:val="31849B" w:themeColor="accent5" w:themeShade="BF"/>
          <w:sz w:val="24"/>
          <w:szCs w:val="24"/>
        </w:rPr>
        <w:t xml:space="preserve">? </w:t>
      </w:r>
    </w:p>
    <w:p w:rsidR="009B7222" w:rsidRDefault="00146701" w:rsidP="009B7222">
      <w:pPr>
        <w:pStyle w:val="ListParagraph"/>
        <w:numPr>
          <w:ilvl w:val="0"/>
          <w:numId w:val="27"/>
        </w:numPr>
        <w:spacing w:after="0"/>
        <w:jc w:val="both"/>
        <w:rPr>
          <w:rFonts w:cs="Arial"/>
          <w:sz w:val="22"/>
        </w:rPr>
      </w:pPr>
      <w:r w:rsidRPr="009B7222">
        <w:rPr>
          <w:rFonts w:cs="Arial"/>
          <w:sz w:val="22"/>
        </w:rPr>
        <w:t>A</w:t>
      </w:r>
      <w:r w:rsidR="00971F49" w:rsidRPr="009B7222">
        <w:rPr>
          <w:rFonts w:cs="Arial"/>
          <w:sz w:val="22"/>
        </w:rPr>
        <w:t xml:space="preserve"> preliminary estimate of $2.9m included in the </w:t>
      </w:r>
      <w:r w:rsidR="00A33D28" w:rsidRPr="009B7222">
        <w:rPr>
          <w:rFonts w:cs="Arial"/>
          <w:sz w:val="22"/>
        </w:rPr>
        <w:t xml:space="preserve">2012 </w:t>
      </w:r>
      <w:r w:rsidR="00971F49" w:rsidRPr="009B7222">
        <w:rPr>
          <w:rFonts w:cs="Arial"/>
          <w:sz w:val="22"/>
        </w:rPr>
        <w:t xml:space="preserve">Planning Proposal </w:t>
      </w:r>
      <w:r w:rsidR="00A33D28" w:rsidRPr="009B7222">
        <w:rPr>
          <w:rFonts w:cs="Arial"/>
          <w:sz w:val="22"/>
        </w:rPr>
        <w:t>did not account for several significant project costs</w:t>
      </w:r>
      <w:r w:rsidR="00CE4C29" w:rsidRPr="009B7222">
        <w:rPr>
          <w:rFonts w:cs="Arial"/>
          <w:sz w:val="22"/>
        </w:rPr>
        <w:t xml:space="preserve"> </w:t>
      </w:r>
      <w:r w:rsidR="00A33D28" w:rsidRPr="009B7222">
        <w:rPr>
          <w:rFonts w:cs="Arial"/>
          <w:sz w:val="22"/>
        </w:rPr>
        <w:t xml:space="preserve">such </w:t>
      </w:r>
      <w:r w:rsidRPr="009B7222">
        <w:rPr>
          <w:rFonts w:cs="Arial"/>
          <w:sz w:val="22"/>
        </w:rPr>
        <w:t xml:space="preserve">as </w:t>
      </w:r>
      <w:r w:rsidR="00F84C53" w:rsidRPr="009B7222">
        <w:rPr>
          <w:rFonts w:cs="Arial"/>
          <w:sz w:val="22"/>
        </w:rPr>
        <w:t xml:space="preserve">initial earthworks, tree removal and </w:t>
      </w:r>
      <w:r w:rsidRPr="009B7222">
        <w:rPr>
          <w:rFonts w:cs="Arial"/>
          <w:sz w:val="22"/>
        </w:rPr>
        <w:t>project management</w:t>
      </w:r>
      <w:r w:rsidR="00A70DD7" w:rsidRPr="009B7222">
        <w:rPr>
          <w:rFonts w:cs="Arial"/>
          <w:sz w:val="22"/>
        </w:rPr>
        <w:t>.</w:t>
      </w:r>
      <w:r w:rsidR="00A33D28" w:rsidRPr="009B7222">
        <w:rPr>
          <w:rFonts w:cs="Arial"/>
          <w:sz w:val="22"/>
        </w:rPr>
        <w:t xml:space="preserve"> </w:t>
      </w:r>
    </w:p>
    <w:p w:rsidR="00CF1AF0" w:rsidRPr="00CF1AF0" w:rsidRDefault="00CF1AF0" w:rsidP="00CF1AF0">
      <w:pPr>
        <w:spacing w:after="0"/>
        <w:ind w:left="360"/>
        <w:jc w:val="both"/>
        <w:rPr>
          <w:rFonts w:cs="Arial"/>
          <w:sz w:val="22"/>
        </w:rPr>
      </w:pPr>
    </w:p>
    <w:p w:rsidR="009B7222" w:rsidRDefault="00A70DD7" w:rsidP="009B7222">
      <w:pPr>
        <w:pStyle w:val="ListParagraph"/>
        <w:numPr>
          <w:ilvl w:val="0"/>
          <w:numId w:val="27"/>
        </w:numPr>
        <w:spacing w:after="0"/>
        <w:jc w:val="both"/>
        <w:rPr>
          <w:rFonts w:cs="Arial"/>
          <w:sz w:val="22"/>
        </w:rPr>
      </w:pPr>
      <w:r w:rsidRPr="009B7222">
        <w:rPr>
          <w:rFonts w:cs="Arial"/>
          <w:sz w:val="22"/>
        </w:rPr>
        <w:t xml:space="preserve">The electricity infrastructure cost estimates were based on overhead infrastructure but it is now clear that underground infrastructure (which is </w:t>
      </w:r>
      <w:r w:rsidR="00F84C53" w:rsidRPr="009B7222">
        <w:rPr>
          <w:rFonts w:cs="Arial"/>
          <w:sz w:val="22"/>
        </w:rPr>
        <w:t xml:space="preserve">considerably </w:t>
      </w:r>
      <w:r w:rsidRPr="009B7222">
        <w:rPr>
          <w:rFonts w:cs="Arial"/>
          <w:sz w:val="22"/>
        </w:rPr>
        <w:t xml:space="preserve">more expensive) must be provided to the more densely developed parts of the Estate.  </w:t>
      </w:r>
    </w:p>
    <w:p w:rsidR="00CF1AF0" w:rsidRPr="00CF1AF0" w:rsidRDefault="00CF1AF0" w:rsidP="00CF1AF0">
      <w:pPr>
        <w:spacing w:after="0"/>
        <w:ind w:left="360"/>
        <w:jc w:val="both"/>
        <w:rPr>
          <w:rFonts w:cs="Arial"/>
          <w:sz w:val="22"/>
        </w:rPr>
      </w:pPr>
    </w:p>
    <w:p w:rsidR="00C60ED7" w:rsidRPr="009B7222" w:rsidRDefault="009B7222" w:rsidP="00F27CC3">
      <w:pPr>
        <w:pStyle w:val="ListParagraph"/>
        <w:numPr>
          <w:ilvl w:val="0"/>
          <w:numId w:val="27"/>
        </w:numPr>
        <w:spacing w:after="0"/>
        <w:jc w:val="both"/>
        <w:rPr>
          <w:rFonts w:cs="Arial"/>
          <w:sz w:val="22"/>
        </w:rPr>
      </w:pPr>
      <w:r w:rsidRPr="009B7222">
        <w:rPr>
          <w:rFonts w:cs="Arial"/>
          <w:sz w:val="22"/>
        </w:rPr>
        <w:t xml:space="preserve">The </w:t>
      </w:r>
      <w:r w:rsidR="00A33D28" w:rsidRPr="009B7222">
        <w:rPr>
          <w:rFonts w:cs="Arial"/>
          <w:sz w:val="22"/>
        </w:rPr>
        <w:t xml:space="preserve">costings used in 2012 substantially underestimated the total cost of providing essential infrastructure for </w:t>
      </w:r>
      <w:r w:rsidR="00A70DD7" w:rsidRPr="009B7222">
        <w:rPr>
          <w:rFonts w:cs="Arial"/>
          <w:sz w:val="22"/>
        </w:rPr>
        <w:t>the</w:t>
      </w:r>
      <w:r w:rsidR="00A33D28" w:rsidRPr="009B7222">
        <w:rPr>
          <w:rFonts w:cs="Arial"/>
          <w:sz w:val="22"/>
        </w:rPr>
        <w:t xml:space="preserve"> Estate</w:t>
      </w:r>
      <w:r w:rsidR="00CE4C29" w:rsidRPr="009B7222">
        <w:rPr>
          <w:rFonts w:cs="Arial"/>
          <w:sz w:val="22"/>
        </w:rPr>
        <w:t>.</w:t>
      </w:r>
    </w:p>
    <w:p w:rsidR="00C60ED7" w:rsidRPr="009B7222" w:rsidRDefault="00C60ED7" w:rsidP="009B7222">
      <w:pPr>
        <w:pStyle w:val="Heading1"/>
        <w:numPr>
          <w:ilvl w:val="0"/>
          <w:numId w:val="21"/>
        </w:numPr>
        <w:rPr>
          <w:rStyle w:val="Strong"/>
          <w:rFonts w:ascii="Arial" w:hAnsi="Arial" w:cs="Arial"/>
          <w:b/>
          <w:color w:val="31849B" w:themeColor="accent5" w:themeShade="BF"/>
          <w:sz w:val="24"/>
          <w:szCs w:val="24"/>
        </w:rPr>
      </w:pPr>
      <w:bookmarkStart w:id="6" w:name="_Toc408815852"/>
      <w:r w:rsidRPr="009B7222">
        <w:rPr>
          <w:rStyle w:val="Strong"/>
          <w:rFonts w:ascii="Arial" w:hAnsi="Arial" w:cs="Arial"/>
          <w:b/>
          <w:color w:val="31849B" w:themeColor="accent5" w:themeShade="BF"/>
          <w:sz w:val="24"/>
          <w:szCs w:val="24"/>
        </w:rPr>
        <w:t>How long will it take to build the infrastructure?</w:t>
      </w:r>
      <w:bookmarkEnd w:id="6"/>
    </w:p>
    <w:p w:rsidR="00C60ED7" w:rsidRPr="009B7222" w:rsidRDefault="00C60ED7" w:rsidP="009B7222">
      <w:pPr>
        <w:pStyle w:val="ListParagraph"/>
        <w:numPr>
          <w:ilvl w:val="0"/>
          <w:numId w:val="28"/>
        </w:numPr>
        <w:spacing w:after="0" w:line="240" w:lineRule="auto"/>
        <w:jc w:val="both"/>
        <w:rPr>
          <w:rFonts w:cs="Arial"/>
          <w:sz w:val="22"/>
        </w:rPr>
      </w:pPr>
      <w:r w:rsidRPr="009B7222">
        <w:rPr>
          <w:rFonts w:cs="Arial"/>
          <w:sz w:val="22"/>
        </w:rPr>
        <w:t>Provided the necessary easements are in place, it is anticipated that the infrastructure will be completed within two years of securing finance.</w:t>
      </w:r>
    </w:p>
    <w:p w:rsidR="009C08AF" w:rsidRPr="009B7222" w:rsidRDefault="000048FE" w:rsidP="009B7222">
      <w:pPr>
        <w:pStyle w:val="Heading1"/>
        <w:numPr>
          <w:ilvl w:val="0"/>
          <w:numId w:val="21"/>
        </w:numPr>
        <w:rPr>
          <w:rStyle w:val="Strong"/>
          <w:rFonts w:ascii="Arial" w:hAnsi="Arial" w:cs="Arial"/>
          <w:b/>
          <w:color w:val="31849B" w:themeColor="accent5" w:themeShade="BF"/>
          <w:sz w:val="24"/>
          <w:szCs w:val="24"/>
        </w:rPr>
      </w:pPr>
      <w:bookmarkStart w:id="7" w:name="_Toc408815853"/>
      <w:r w:rsidRPr="009B7222">
        <w:rPr>
          <w:rStyle w:val="Strong"/>
          <w:rFonts w:ascii="Arial" w:hAnsi="Arial" w:cs="Arial"/>
          <w:b/>
          <w:color w:val="31849B" w:themeColor="accent5" w:themeShade="BF"/>
          <w:sz w:val="24"/>
          <w:szCs w:val="24"/>
        </w:rPr>
        <w:t>What is the term of the proposed loan</w:t>
      </w:r>
      <w:r w:rsidR="009C08AF" w:rsidRPr="009B7222">
        <w:rPr>
          <w:rStyle w:val="Strong"/>
          <w:rFonts w:ascii="Arial" w:hAnsi="Arial" w:cs="Arial"/>
          <w:b/>
          <w:color w:val="31849B" w:themeColor="accent5" w:themeShade="BF"/>
          <w:sz w:val="24"/>
          <w:szCs w:val="24"/>
        </w:rPr>
        <w:t>?</w:t>
      </w:r>
      <w:bookmarkEnd w:id="7"/>
    </w:p>
    <w:p w:rsidR="009B7222" w:rsidRDefault="00373B90" w:rsidP="009B7222">
      <w:pPr>
        <w:pStyle w:val="ListParagraph"/>
        <w:numPr>
          <w:ilvl w:val="0"/>
          <w:numId w:val="28"/>
        </w:numPr>
        <w:spacing w:after="0" w:line="240" w:lineRule="auto"/>
        <w:jc w:val="both"/>
        <w:rPr>
          <w:rFonts w:cs="Arial"/>
          <w:sz w:val="22"/>
        </w:rPr>
      </w:pPr>
      <w:r w:rsidRPr="009B7222">
        <w:rPr>
          <w:rFonts w:cs="Arial"/>
          <w:sz w:val="22"/>
        </w:rPr>
        <w:t>Council</w:t>
      </w:r>
      <w:r w:rsidR="00C60ED7" w:rsidRPr="009B7222">
        <w:rPr>
          <w:rFonts w:cs="Arial"/>
          <w:sz w:val="22"/>
        </w:rPr>
        <w:t>’s</w:t>
      </w:r>
      <w:r w:rsidR="000048FE" w:rsidRPr="009B7222">
        <w:rPr>
          <w:rFonts w:cs="Arial"/>
          <w:sz w:val="22"/>
        </w:rPr>
        <w:t xml:space="preserve"> </w:t>
      </w:r>
      <w:r w:rsidR="00C60ED7" w:rsidRPr="009B7222">
        <w:rPr>
          <w:rFonts w:cs="Arial"/>
          <w:sz w:val="22"/>
        </w:rPr>
        <w:t>preferred loan period is 10 years, but</w:t>
      </w:r>
      <w:r w:rsidR="00FA78AC" w:rsidRPr="009B7222">
        <w:rPr>
          <w:rFonts w:cs="Arial"/>
          <w:sz w:val="22"/>
        </w:rPr>
        <w:t xml:space="preserve"> </w:t>
      </w:r>
      <w:r w:rsidR="00C60ED7" w:rsidRPr="009B7222">
        <w:rPr>
          <w:rFonts w:cs="Arial"/>
          <w:sz w:val="22"/>
        </w:rPr>
        <w:t xml:space="preserve">will consider </w:t>
      </w:r>
      <w:r w:rsidR="00F30414" w:rsidRPr="009B7222">
        <w:rPr>
          <w:rFonts w:cs="Arial"/>
          <w:sz w:val="22"/>
        </w:rPr>
        <w:t xml:space="preserve">15 </w:t>
      </w:r>
      <w:r w:rsidR="00C60ED7" w:rsidRPr="009B7222">
        <w:rPr>
          <w:rFonts w:cs="Arial"/>
          <w:sz w:val="22"/>
        </w:rPr>
        <w:t>or</w:t>
      </w:r>
      <w:r w:rsidR="00F30414" w:rsidRPr="009B7222">
        <w:rPr>
          <w:rFonts w:cs="Arial"/>
          <w:sz w:val="22"/>
        </w:rPr>
        <w:t xml:space="preserve"> 20 years</w:t>
      </w:r>
      <w:r w:rsidR="00C60ED7" w:rsidRPr="009B7222">
        <w:rPr>
          <w:rFonts w:cs="Arial"/>
          <w:sz w:val="22"/>
        </w:rPr>
        <w:t xml:space="preserve"> depending on feedback from landowners</w:t>
      </w:r>
      <w:r w:rsidR="00F30414" w:rsidRPr="009B7222">
        <w:rPr>
          <w:rFonts w:cs="Arial"/>
          <w:sz w:val="22"/>
        </w:rPr>
        <w:t>.</w:t>
      </w:r>
      <w:r w:rsidR="00C623A3" w:rsidRPr="009B7222">
        <w:rPr>
          <w:rFonts w:cs="Arial"/>
          <w:sz w:val="22"/>
        </w:rPr>
        <w:t xml:space="preserve"> </w:t>
      </w:r>
    </w:p>
    <w:p w:rsidR="00CF1AF0" w:rsidRPr="00CF1AF0" w:rsidRDefault="00CF1AF0" w:rsidP="00CF1AF0">
      <w:pPr>
        <w:spacing w:after="0" w:line="240" w:lineRule="auto"/>
        <w:ind w:left="360"/>
        <w:jc w:val="both"/>
        <w:rPr>
          <w:rFonts w:cs="Arial"/>
          <w:sz w:val="22"/>
        </w:rPr>
      </w:pPr>
    </w:p>
    <w:p w:rsidR="009B7222" w:rsidRDefault="004A00E7" w:rsidP="009B7222">
      <w:pPr>
        <w:pStyle w:val="ListParagraph"/>
        <w:numPr>
          <w:ilvl w:val="0"/>
          <w:numId w:val="28"/>
        </w:numPr>
        <w:spacing w:after="0" w:line="240" w:lineRule="auto"/>
        <w:jc w:val="both"/>
        <w:rPr>
          <w:rFonts w:cs="Arial"/>
          <w:sz w:val="22"/>
        </w:rPr>
      </w:pPr>
      <w:r w:rsidRPr="009B7222">
        <w:rPr>
          <w:rFonts w:cs="Arial"/>
          <w:sz w:val="22"/>
        </w:rPr>
        <w:t>Council</w:t>
      </w:r>
      <w:r w:rsidR="009B7222">
        <w:rPr>
          <w:rFonts w:cs="Arial"/>
          <w:sz w:val="22"/>
        </w:rPr>
        <w:t>’</w:t>
      </w:r>
      <w:r w:rsidRPr="009B7222">
        <w:rPr>
          <w:rFonts w:cs="Arial"/>
          <w:sz w:val="22"/>
        </w:rPr>
        <w:t xml:space="preserve">s policy is that loans should not be taken out over more than 20 years, given the financial risk associated with longer term loans.  </w:t>
      </w:r>
    </w:p>
    <w:p w:rsidR="00CF1AF0" w:rsidRPr="00CF1AF0" w:rsidRDefault="00CF1AF0" w:rsidP="00CF1AF0">
      <w:pPr>
        <w:spacing w:after="0" w:line="240" w:lineRule="auto"/>
        <w:ind w:left="360"/>
        <w:jc w:val="both"/>
        <w:rPr>
          <w:rFonts w:cs="Arial"/>
          <w:sz w:val="22"/>
        </w:rPr>
      </w:pPr>
    </w:p>
    <w:p w:rsidR="009B7222" w:rsidRDefault="00C60ED7" w:rsidP="009B7222">
      <w:pPr>
        <w:pStyle w:val="ListParagraph"/>
        <w:numPr>
          <w:ilvl w:val="0"/>
          <w:numId w:val="28"/>
        </w:numPr>
        <w:spacing w:after="0" w:line="240" w:lineRule="auto"/>
        <w:jc w:val="both"/>
        <w:rPr>
          <w:rFonts w:cs="Arial"/>
          <w:sz w:val="22"/>
        </w:rPr>
      </w:pPr>
      <w:r w:rsidRPr="009B7222">
        <w:rPr>
          <w:rFonts w:cs="Arial"/>
          <w:sz w:val="22"/>
        </w:rPr>
        <w:t xml:space="preserve">The 5 year option included in previous documentation has been removed based on initial landowner feedback.  </w:t>
      </w:r>
    </w:p>
    <w:p w:rsidR="00CF1AF0" w:rsidRPr="00CF1AF0" w:rsidRDefault="00CF1AF0" w:rsidP="00CF1AF0">
      <w:pPr>
        <w:spacing w:after="0" w:line="240" w:lineRule="auto"/>
        <w:ind w:left="360"/>
        <w:jc w:val="both"/>
        <w:rPr>
          <w:rFonts w:cs="Arial"/>
          <w:sz w:val="22"/>
        </w:rPr>
      </w:pPr>
    </w:p>
    <w:p w:rsidR="000048FE" w:rsidRPr="009B7222" w:rsidRDefault="00C623A3" w:rsidP="009B7222">
      <w:pPr>
        <w:pStyle w:val="ListParagraph"/>
        <w:numPr>
          <w:ilvl w:val="0"/>
          <w:numId w:val="28"/>
        </w:numPr>
        <w:spacing w:after="0" w:line="240" w:lineRule="auto"/>
        <w:jc w:val="both"/>
        <w:rPr>
          <w:rFonts w:cs="Arial"/>
          <w:sz w:val="22"/>
        </w:rPr>
      </w:pPr>
      <w:r w:rsidRPr="009B7222">
        <w:rPr>
          <w:rFonts w:cs="Arial"/>
          <w:sz w:val="22"/>
        </w:rPr>
        <w:t>The special rates will apply for the length of the loan period, whichever is chosen.</w:t>
      </w:r>
      <w:r w:rsidR="00C60ED7" w:rsidRPr="009B7222">
        <w:rPr>
          <w:rFonts w:cs="Arial"/>
          <w:sz w:val="22"/>
        </w:rPr>
        <w:t xml:space="preserve">  </w:t>
      </w:r>
    </w:p>
    <w:p w:rsidR="002C1883" w:rsidRPr="009B7222" w:rsidRDefault="002C1883" w:rsidP="009B7222">
      <w:pPr>
        <w:pStyle w:val="Heading1"/>
        <w:numPr>
          <w:ilvl w:val="0"/>
          <w:numId w:val="21"/>
        </w:numPr>
        <w:rPr>
          <w:rStyle w:val="Strong"/>
          <w:rFonts w:ascii="Arial" w:hAnsi="Arial" w:cs="Arial"/>
          <w:b/>
          <w:color w:val="31849B" w:themeColor="accent5" w:themeShade="BF"/>
          <w:sz w:val="24"/>
          <w:szCs w:val="24"/>
        </w:rPr>
      </w:pPr>
      <w:bookmarkStart w:id="8" w:name="_Toc408815854"/>
      <w:r w:rsidRPr="009B7222">
        <w:rPr>
          <w:rStyle w:val="Strong"/>
          <w:rFonts w:ascii="Arial" w:hAnsi="Arial" w:cs="Arial"/>
          <w:b/>
          <w:color w:val="31849B" w:themeColor="accent5" w:themeShade="BF"/>
          <w:sz w:val="24"/>
          <w:szCs w:val="24"/>
        </w:rPr>
        <w:t>What will the interest rate on the loan be?</w:t>
      </w:r>
      <w:bookmarkEnd w:id="8"/>
    </w:p>
    <w:p w:rsidR="009B7222" w:rsidRDefault="002C1883" w:rsidP="009B7222">
      <w:pPr>
        <w:pStyle w:val="ListParagraph"/>
        <w:numPr>
          <w:ilvl w:val="0"/>
          <w:numId w:val="29"/>
        </w:numPr>
        <w:tabs>
          <w:tab w:val="left" w:pos="567"/>
        </w:tabs>
        <w:spacing w:after="0"/>
        <w:jc w:val="both"/>
        <w:rPr>
          <w:rFonts w:cs="Arial"/>
          <w:sz w:val="22"/>
        </w:rPr>
      </w:pPr>
      <w:r w:rsidRPr="009B7222">
        <w:rPr>
          <w:rFonts w:cs="Arial"/>
          <w:sz w:val="22"/>
        </w:rPr>
        <w:t xml:space="preserve">Council have an established credit rating that will enable Council to secure the required funds at a competitive rate. </w:t>
      </w:r>
    </w:p>
    <w:p w:rsidR="00CF1AF0" w:rsidRPr="00CF1AF0" w:rsidRDefault="00CF1AF0" w:rsidP="00CF1AF0">
      <w:pPr>
        <w:tabs>
          <w:tab w:val="left" w:pos="567"/>
        </w:tabs>
        <w:spacing w:after="0"/>
        <w:ind w:left="360"/>
        <w:jc w:val="both"/>
        <w:rPr>
          <w:rFonts w:cs="Arial"/>
          <w:sz w:val="22"/>
        </w:rPr>
      </w:pPr>
    </w:p>
    <w:p w:rsidR="00F84C53" w:rsidRPr="009B7222" w:rsidRDefault="00B14CF4" w:rsidP="009B7222">
      <w:pPr>
        <w:pStyle w:val="ListParagraph"/>
        <w:numPr>
          <w:ilvl w:val="0"/>
          <w:numId w:val="29"/>
        </w:numPr>
        <w:tabs>
          <w:tab w:val="left" w:pos="567"/>
        </w:tabs>
        <w:spacing w:after="0"/>
        <w:jc w:val="both"/>
        <w:rPr>
          <w:rFonts w:cs="Arial"/>
          <w:sz w:val="22"/>
        </w:rPr>
      </w:pPr>
      <w:r w:rsidRPr="009B7222">
        <w:rPr>
          <w:rFonts w:cs="Arial"/>
          <w:sz w:val="22"/>
        </w:rPr>
        <w:t>A rate of 6% has been assumed in the calculations but it will depend on prevailing interest rates when the loan is taken out.</w:t>
      </w:r>
    </w:p>
    <w:p w:rsidR="00A5485B" w:rsidRPr="00CF1AF0" w:rsidRDefault="009B7222" w:rsidP="00CF1AF0">
      <w:pPr>
        <w:pStyle w:val="Heading1"/>
        <w:numPr>
          <w:ilvl w:val="0"/>
          <w:numId w:val="21"/>
        </w:numPr>
        <w:rPr>
          <w:rFonts w:ascii="Arial" w:hAnsi="Arial" w:cs="Arial"/>
          <w:bCs w:val="0"/>
          <w:color w:val="31849B" w:themeColor="accent5" w:themeShade="BF"/>
          <w:sz w:val="24"/>
          <w:szCs w:val="24"/>
        </w:rPr>
      </w:pPr>
      <w:bookmarkStart w:id="9" w:name="_Toc408815855"/>
      <w:r>
        <w:rPr>
          <w:rStyle w:val="Strong"/>
          <w:rFonts w:ascii="Arial" w:hAnsi="Arial" w:cs="Arial"/>
          <w:b/>
          <w:color w:val="31849B" w:themeColor="accent5" w:themeShade="BF"/>
          <w:sz w:val="24"/>
          <w:szCs w:val="24"/>
        </w:rPr>
        <w:t xml:space="preserve"> </w:t>
      </w:r>
      <w:r w:rsidR="00A5485B" w:rsidRPr="009B7222">
        <w:rPr>
          <w:rStyle w:val="Strong"/>
          <w:rFonts w:ascii="Arial" w:hAnsi="Arial" w:cs="Arial"/>
          <w:b/>
          <w:color w:val="31849B" w:themeColor="accent5" w:themeShade="BF"/>
          <w:sz w:val="24"/>
          <w:szCs w:val="24"/>
        </w:rPr>
        <w:t>What are the advantages and disadvantages for the different loan periods?</w:t>
      </w:r>
      <w:bookmarkEnd w:id="9"/>
    </w:p>
    <w:tbl>
      <w:tblPr>
        <w:tblStyle w:val="TableGrid"/>
        <w:tblW w:w="0" w:type="auto"/>
        <w:tblInd w:w="567" w:type="dxa"/>
        <w:tblLook w:val="04A0" w:firstRow="1" w:lastRow="0" w:firstColumn="1" w:lastColumn="0" w:noHBand="0" w:noVBand="1"/>
      </w:tblPr>
      <w:tblGrid>
        <w:gridCol w:w="2518"/>
        <w:gridCol w:w="4399"/>
        <w:gridCol w:w="3504"/>
      </w:tblGrid>
      <w:tr w:rsidR="00A5485B" w:rsidRPr="00F93DEF" w:rsidTr="00CF1AF0">
        <w:tc>
          <w:tcPr>
            <w:tcW w:w="2518" w:type="dxa"/>
          </w:tcPr>
          <w:p w:rsidR="00A5485B" w:rsidRPr="00F93DEF" w:rsidRDefault="00A5485B" w:rsidP="0049514D">
            <w:pPr>
              <w:spacing w:before="120" w:after="120"/>
              <w:jc w:val="both"/>
              <w:rPr>
                <w:rFonts w:ascii="Arial" w:hAnsi="Arial" w:cs="Arial"/>
              </w:rPr>
            </w:pPr>
          </w:p>
        </w:tc>
        <w:tc>
          <w:tcPr>
            <w:tcW w:w="4399" w:type="dxa"/>
          </w:tcPr>
          <w:p w:rsidR="00A5485B" w:rsidRPr="00F93DEF" w:rsidRDefault="00A5485B" w:rsidP="0049514D">
            <w:pPr>
              <w:spacing w:before="120" w:after="120"/>
              <w:jc w:val="both"/>
              <w:rPr>
                <w:rFonts w:ascii="Arial" w:hAnsi="Arial" w:cs="Arial"/>
                <w:b/>
              </w:rPr>
            </w:pPr>
            <w:r w:rsidRPr="00F93DEF">
              <w:rPr>
                <w:rFonts w:ascii="Arial" w:hAnsi="Arial" w:cs="Arial"/>
                <w:b/>
              </w:rPr>
              <w:t>Advantages</w:t>
            </w:r>
          </w:p>
        </w:tc>
        <w:tc>
          <w:tcPr>
            <w:tcW w:w="3504" w:type="dxa"/>
          </w:tcPr>
          <w:p w:rsidR="00A5485B" w:rsidRPr="00F93DEF" w:rsidRDefault="00A5485B" w:rsidP="0049514D">
            <w:pPr>
              <w:spacing w:before="120" w:after="120"/>
              <w:jc w:val="both"/>
              <w:rPr>
                <w:rFonts w:ascii="Arial" w:hAnsi="Arial" w:cs="Arial"/>
                <w:b/>
              </w:rPr>
            </w:pPr>
            <w:r w:rsidRPr="00F93DEF">
              <w:rPr>
                <w:rFonts w:ascii="Arial" w:hAnsi="Arial" w:cs="Arial"/>
                <w:b/>
              </w:rPr>
              <w:t>Disadvantages</w:t>
            </w:r>
          </w:p>
        </w:tc>
      </w:tr>
      <w:tr w:rsidR="00A5485B" w:rsidRPr="00F93DEF" w:rsidTr="00CF1AF0">
        <w:tc>
          <w:tcPr>
            <w:tcW w:w="2518" w:type="dxa"/>
          </w:tcPr>
          <w:p w:rsidR="00A5485B" w:rsidRPr="00F93DEF" w:rsidRDefault="00A5485B" w:rsidP="0049514D">
            <w:pPr>
              <w:spacing w:before="120" w:after="120"/>
              <w:jc w:val="both"/>
              <w:rPr>
                <w:rFonts w:ascii="Arial" w:hAnsi="Arial" w:cs="Arial"/>
                <w:b/>
              </w:rPr>
            </w:pPr>
            <w:r w:rsidRPr="00F93DEF">
              <w:rPr>
                <w:rFonts w:ascii="Arial" w:hAnsi="Arial" w:cs="Arial"/>
                <w:b/>
              </w:rPr>
              <w:t>Shorter loan</w:t>
            </w:r>
            <w:r w:rsidR="00CE3BB6" w:rsidRPr="00F93DEF">
              <w:rPr>
                <w:rFonts w:ascii="Arial" w:hAnsi="Arial" w:cs="Arial"/>
                <w:b/>
              </w:rPr>
              <w:t xml:space="preserve"> </w:t>
            </w:r>
            <w:r w:rsidRPr="00F93DEF">
              <w:rPr>
                <w:rFonts w:ascii="Arial" w:hAnsi="Arial" w:cs="Arial"/>
                <w:b/>
              </w:rPr>
              <w:t>period</w:t>
            </w:r>
          </w:p>
        </w:tc>
        <w:tc>
          <w:tcPr>
            <w:tcW w:w="4399" w:type="dxa"/>
          </w:tcPr>
          <w:p w:rsidR="00A5485B" w:rsidRPr="00F93DEF" w:rsidRDefault="00A5485B" w:rsidP="0049514D">
            <w:pPr>
              <w:spacing w:before="120" w:after="120"/>
              <w:jc w:val="both"/>
              <w:rPr>
                <w:rFonts w:ascii="Arial" w:hAnsi="Arial" w:cs="Arial"/>
              </w:rPr>
            </w:pPr>
            <w:r w:rsidRPr="00F93DEF">
              <w:rPr>
                <w:rFonts w:ascii="Arial" w:hAnsi="Arial" w:cs="Arial"/>
              </w:rPr>
              <w:t xml:space="preserve">Lower total amount of interest.  </w:t>
            </w:r>
          </w:p>
          <w:p w:rsidR="00A5485B" w:rsidRPr="00F93DEF" w:rsidRDefault="00A5485B" w:rsidP="005F16AA">
            <w:pPr>
              <w:spacing w:before="120" w:after="120"/>
              <w:jc w:val="both"/>
              <w:rPr>
                <w:rFonts w:ascii="Arial" w:hAnsi="Arial" w:cs="Arial"/>
                <w:vertAlign w:val="superscript"/>
              </w:rPr>
            </w:pPr>
            <w:r w:rsidRPr="00F93DEF">
              <w:rPr>
                <w:rFonts w:ascii="Arial" w:hAnsi="Arial" w:cs="Arial"/>
              </w:rPr>
              <w:t xml:space="preserve">Less time that </w:t>
            </w:r>
            <w:r w:rsidR="005F16AA" w:rsidRPr="00F93DEF">
              <w:rPr>
                <w:rFonts w:ascii="Arial" w:hAnsi="Arial" w:cs="Arial"/>
              </w:rPr>
              <w:t>the special rates will apply which may impact on property values.</w:t>
            </w:r>
            <w:r w:rsidR="00FF694E" w:rsidRPr="00F93DEF">
              <w:rPr>
                <w:rFonts w:ascii="Arial" w:hAnsi="Arial" w:cs="Arial"/>
                <w:b/>
                <w:vertAlign w:val="superscript"/>
              </w:rPr>
              <w:t>1</w:t>
            </w:r>
          </w:p>
        </w:tc>
        <w:tc>
          <w:tcPr>
            <w:tcW w:w="3504" w:type="dxa"/>
          </w:tcPr>
          <w:p w:rsidR="00A5485B" w:rsidRPr="00F93DEF" w:rsidRDefault="00A5485B" w:rsidP="0049514D">
            <w:pPr>
              <w:spacing w:before="120" w:after="120"/>
              <w:jc w:val="both"/>
              <w:rPr>
                <w:rFonts w:ascii="Arial" w:hAnsi="Arial" w:cs="Arial"/>
              </w:rPr>
            </w:pPr>
            <w:r w:rsidRPr="00F93DEF">
              <w:rPr>
                <w:rFonts w:ascii="Arial" w:hAnsi="Arial" w:cs="Arial"/>
              </w:rPr>
              <w:t>Higher annual rates.</w:t>
            </w:r>
          </w:p>
        </w:tc>
      </w:tr>
      <w:tr w:rsidR="00A5485B" w:rsidRPr="00F93DEF" w:rsidTr="00CF1AF0">
        <w:tc>
          <w:tcPr>
            <w:tcW w:w="2518" w:type="dxa"/>
          </w:tcPr>
          <w:p w:rsidR="00A5485B" w:rsidRPr="00F93DEF" w:rsidRDefault="00A5485B" w:rsidP="0049514D">
            <w:pPr>
              <w:spacing w:before="120" w:after="120"/>
              <w:jc w:val="both"/>
              <w:rPr>
                <w:rFonts w:ascii="Arial" w:hAnsi="Arial" w:cs="Arial"/>
                <w:b/>
              </w:rPr>
            </w:pPr>
            <w:r w:rsidRPr="00F93DEF">
              <w:rPr>
                <w:rFonts w:ascii="Arial" w:hAnsi="Arial" w:cs="Arial"/>
                <w:b/>
              </w:rPr>
              <w:t>Longer loan</w:t>
            </w:r>
            <w:r w:rsidR="00CE3BB6" w:rsidRPr="00F93DEF">
              <w:rPr>
                <w:rFonts w:ascii="Arial" w:hAnsi="Arial" w:cs="Arial"/>
                <w:b/>
              </w:rPr>
              <w:t xml:space="preserve"> </w:t>
            </w:r>
            <w:r w:rsidRPr="00F93DEF">
              <w:rPr>
                <w:rFonts w:ascii="Arial" w:hAnsi="Arial" w:cs="Arial"/>
                <w:b/>
              </w:rPr>
              <w:t>period</w:t>
            </w:r>
          </w:p>
        </w:tc>
        <w:tc>
          <w:tcPr>
            <w:tcW w:w="4399" w:type="dxa"/>
          </w:tcPr>
          <w:p w:rsidR="00A5485B" w:rsidRPr="00F93DEF" w:rsidRDefault="00A5485B" w:rsidP="0049514D">
            <w:pPr>
              <w:spacing w:before="120" w:after="120"/>
              <w:jc w:val="both"/>
              <w:rPr>
                <w:rFonts w:ascii="Arial" w:hAnsi="Arial" w:cs="Arial"/>
              </w:rPr>
            </w:pPr>
            <w:r w:rsidRPr="00F93DEF">
              <w:rPr>
                <w:rFonts w:ascii="Arial" w:hAnsi="Arial" w:cs="Arial"/>
              </w:rPr>
              <w:t>Lower annual rates.</w:t>
            </w:r>
          </w:p>
        </w:tc>
        <w:tc>
          <w:tcPr>
            <w:tcW w:w="3504" w:type="dxa"/>
          </w:tcPr>
          <w:p w:rsidR="00A5485B" w:rsidRPr="00F93DEF" w:rsidRDefault="00A5485B" w:rsidP="0049514D">
            <w:pPr>
              <w:spacing w:before="120" w:after="120"/>
              <w:jc w:val="both"/>
              <w:rPr>
                <w:rFonts w:ascii="Arial" w:hAnsi="Arial" w:cs="Arial"/>
              </w:rPr>
            </w:pPr>
            <w:r w:rsidRPr="00F93DEF">
              <w:rPr>
                <w:rFonts w:ascii="Arial" w:hAnsi="Arial" w:cs="Arial"/>
              </w:rPr>
              <w:t>Higher total amount of interest.</w:t>
            </w:r>
          </w:p>
          <w:p w:rsidR="00A5485B" w:rsidRPr="00F93DEF" w:rsidRDefault="00A5485B" w:rsidP="005F16AA">
            <w:pPr>
              <w:spacing w:before="120" w:after="120"/>
              <w:jc w:val="both"/>
              <w:rPr>
                <w:rFonts w:ascii="Arial" w:hAnsi="Arial" w:cs="Arial"/>
                <w:vertAlign w:val="superscript"/>
              </w:rPr>
            </w:pPr>
            <w:r w:rsidRPr="00F93DEF">
              <w:rPr>
                <w:rFonts w:ascii="Arial" w:hAnsi="Arial" w:cs="Arial"/>
              </w:rPr>
              <w:t xml:space="preserve">More time that </w:t>
            </w:r>
            <w:r w:rsidR="007B52CE" w:rsidRPr="00F93DEF">
              <w:rPr>
                <w:rFonts w:ascii="Arial" w:hAnsi="Arial" w:cs="Arial"/>
              </w:rPr>
              <w:t xml:space="preserve">the special rates will apply </w:t>
            </w:r>
            <w:r w:rsidR="005F16AA" w:rsidRPr="00F93DEF">
              <w:rPr>
                <w:rFonts w:ascii="Arial" w:hAnsi="Arial" w:cs="Arial"/>
              </w:rPr>
              <w:t>which may impact on property values.</w:t>
            </w:r>
            <w:r w:rsidR="00FF694E" w:rsidRPr="00F93DEF">
              <w:rPr>
                <w:rFonts w:ascii="Arial" w:hAnsi="Arial" w:cs="Arial"/>
                <w:b/>
                <w:vertAlign w:val="superscript"/>
              </w:rPr>
              <w:t>1</w:t>
            </w:r>
          </w:p>
        </w:tc>
      </w:tr>
    </w:tbl>
    <w:p w:rsidR="00A5485B" w:rsidRPr="009B7222" w:rsidRDefault="00FF694E" w:rsidP="00FF694E">
      <w:pPr>
        <w:spacing w:before="120" w:after="0" w:line="240" w:lineRule="auto"/>
        <w:ind w:left="567"/>
        <w:jc w:val="both"/>
        <w:rPr>
          <w:rFonts w:cs="Arial"/>
          <w:sz w:val="20"/>
          <w:szCs w:val="20"/>
        </w:rPr>
      </w:pPr>
      <w:r w:rsidRPr="009B7222">
        <w:rPr>
          <w:rFonts w:cs="Arial"/>
          <w:sz w:val="20"/>
          <w:szCs w:val="20"/>
          <w:vertAlign w:val="superscript"/>
        </w:rPr>
        <w:t xml:space="preserve">1 </w:t>
      </w:r>
      <w:r w:rsidRPr="009B7222">
        <w:rPr>
          <w:rFonts w:cs="Arial"/>
          <w:sz w:val="20"/>
          <w:szCs w:val="20"/>
        </w:rPr>
        <w:t xml:space="preserve">Whilst completion of the infrastructure is expected to have a positive effect on property valuations, </w:t>
      </w:r>
      <w:r w:rsidR="00CE3BB6" w:rsidRPr="009B7222">
        <w:rPr>
          <w:rFonts w:cs="Arial"/>
          <w:sz w:val="20"/>
          <w:szCs w:val="20"/>
        </w:rPr>
        <w:t xml:space="preserve">the special rates </w:t>
      </w:r>
      <w:r w:rsidRPr="009B7222">
        <w:rPr>
          <w:rFonts w:cs="Arial"/>
          <w:sz w:val="20"/>
          <w:szCs w:val="20"/>
        </w:rPr>
        <w:t>are expected to have a negative effect</w:t>
      </w:r>
      <w:r w:rsidR="001F216C" w:rsidRPr="009B7222">
        <w:rPr>
          <w:rFonts w:cs="Arial"/>
          <w:sz w:val="20"/>
          <w:szCs w:val="20"/>
        </w:rPr>
        <w:t>.</w:t>
      </w:r>
      <w:r w:rsidRPr="009B7222">
        <w:rPr>
          <w:rFonts w:cs="Arial"/>
          <w:sz w:val="20"/>
          <w:szCs w:val="20"/>
        </w:rPr>
        <w:t xml:space="preserve"> </w:t>
      </w:r>
      <w:r w:rsidR="001F216C" w:rsidRPr="009B7222">
        <w:rPr>
          <w:rFonts w:cs="Arial"/>
          <w:sz w:val="20"/>
          <w:szCs w:val="20"/>
        </w:rPr>
        <w:t>Once</w:t>
      </w:r>
      <w:r w:rsidRPr="009B7222">
        <w:rPr>
          <w:rFonts w:cs="Arial"/>
          <w:sz w:val="20"/>
          <w:szCs w:val="20"/>
        </w:rPr>
        <w:t xml:space="preserve"> the</w:t>
      </w:r>
      <w:r w:rsidR="0049514D" w:rsidRPr="009B7222">
        <w:rPr>
          <w:rFonts w:cs="Arial"/>
          <w:sz w:val="20"/>
          <w:szCs w:val="20"/>
        </w:rPr>
        <w:t xml:space="preserve"> special rates</w:t>
      </w:r>
      <w:r w:rsidRPr="009B7222">
        <w:rPr>
          <w:rFonts w:cs="Arial"/>
          <w:sz w:val="20"/>
          <w:szCs w:val="20"/>
        </w:rPr>
        <w:t xml:space="preserve"> </w:t>
      </w:r>
      <w:r w:rsidR="0049514D" w:rsidRPr="009B7222">
        <w:rPr>
          <w:rFonts w:cs="Arial"/>
          <w:sz w:val="20"/>
          <w:szCs w:val="20"/>
        </w:rPr>
        <w:t>no longer</w:t>
      </w:r>
      <w:r w:rsidRPr="009B7222">
        <w:rPr>
          <w:rFonts w:cs="Arial"/>
          <w:sz w:val="20"/>
          <w:szCs w:val="20"/>
        </w:rPr>
        <w:t xml:space="preserve"> apply</w:t>
      </w:r>
      <w:r w:rsidR="001F216C" w:rsidRPr="009B7222">
        <w:rPr>
          <w:rFonts w:cs="Arial"/>
          <w:sz w:val="20"/>
          <w:szCs w:val="20"/>
        </w:rPr>
        <w:t xml:space="preserve"> it is expected that property valuations become comparable with similarly zoned and serviced land elsewhere</w:t>
      </w:r>
      <w:r w:rsidRPr="009B7222">
        <w:rPr>
          <w:rFonts w:cs="Arial"/>
          <w:sz w:val="20"/>
          <w:szCs w:val="20"/>
        </w:rPr>
        <w:t>.</w:t>
      </w:r>
    </w:p>
    <w:p w:rsidR="00C60ED7" w:rsidRPr="009B7222" w:rsidRDefault="009B7222" w:rsidP="009B7222">
      <w:pPr>
        <w:pStyle w:val="Heading1"/>
        <w:numPr>
          <w:ilvl w:val="0"/>
          <w:numId w:val="21"/>
        </w:numPr>
        <w:rPr>
          <w:rStyle w:val="Strong"/>
          <w:rFonts w:ascii="Arial" w:hAnsi="Arial" w:cs="Arial"/>
          <w:b/>
          <w:color w:val="31849B" w:themeColor="accent5" w:themeShade="BF"/>
          <w:sz w:val="24"/>
          <w:szCs w:val="24"/>
        </w:rPr>
      </w:pPr>
      <w:bookmarkStart w:id="10" w:name="_Toc408815856"/>
      <w:r>
        <w:rPr>
          <w:rStyle w:val="Strong"/>
          <w:rFonts w:ascii="Arial" w:hAnsi="Arial" w:cs="Arial"/>
          <w:b/>
          <w:color w:val="31849B" w:themeColor="accent5" w:themeShade="BF"/>
          <w:sz w:val="24"/>
          <w:szCs w:val="24"/>
        </w:rPr>
        <w:lastRenderedPageBreak/>
        <w:t xml:space="preserve"> </w:t>
      </w:r>
      <w:r w:rsidR="00C60ED7" w:rsidRPr="009B7222">
        <w:rPr>
          <w:rStyle w:val="Strong"/>
          <w:rFonts w:ascii="Arial" w:hAnsi="Arial" w:cs="Arial"/>
          <w:b/>
          <w:color w:val="31849B" w:themeColor="accent5" w:themeShade="BF"/>
          <w:sz w:val="24"/>
          <w:szCs w:val="24"/>
        </w:rPr>
        <w:t>Can I opt to pay for the work upfront to avoid paying interest?</w:t>
      </w:r>
      <w:bookmarkEnd w:id="10"/>
    </w:p>
    <w:p w:rsidR="00CF1AF0" w:rsidRPr="00CF1AF0" w:rsidRDefault="00C60ED7" w:rsidP="00CF1AF0">
      <w:pPr>
        <w:pStyle w:val="ListParagraph"/>
        <w:numPr>
          <w:ilvl w:val="0"/>
          <w:numId w:val="30"/>
        </w:numPr>
        <w:tabs>
          <w:tab w:val="left" w:pos="567"/>
        </w:tabs>
        <w:spacing w:after="0"/>
        <w:jc w:val="both"/>
        <w:rPr>
          <w:rFonts w:cs="Arial"/>
          <w:sz w:val="22"/>
        </w:rPr>
      </w:pPr>
      <w:r w:rsidRPr="009B7222">
        <w:rPr>
          <w:rFonts w:cs="Arial"/>
          <w:sz w:val="22"/>
        </w:rPr>
        <w:t xml:space="preserve">Yes, but any such arrangements will need to be finalised prior </w:t>
      </w:r>
      <w:r w:rsidR="00CF1AF0">
        <w:rPr>
          <w:rFonts w:cs="Arial"/>
          <w:sz w:val="22"/>
        </w:rPr>
        <w:t>to levying rates for 2015/2016.</w:t>
      </w:r>
    </w:p>
    <w:p w:rsidR="005D0E6D" w:rsidRPr="009B7222" w:rsidRDefault="008304CE" w:rsidP="009B7222">
      <w:pPr>
        <w:pStyle w:val="Heading1"/>
        <w:numPr>
          <w:ilvl w:val="0"/>
          <w:numId w:val="21"/>
        </w:numPr>
        <w:rPr>
          <w:rStyle w:val="Strong"/>
          <w:rFonts w:ascii="Arial" w:hAnsi="Arial" w:cs="Arial"/>
          <w:b/>
          <w:color w:val="31849B" w:themeColor="accent5" w:themeShade="BF"/>
          <w:sz w:val="24"/>
          <w:szCs w:val="24"/>
        </w:rPr>
      </w:pPr>
      <w:bookmarkStart w:id="11" w:name="_Toc408815857"/>
      <w:r w:rsidRPr="009B7222">
        <w:rPr>
          <w:rStyle w:val="Strong"/>
          <w:rFonts w:ascii="Arial" w:hAnsi="Arial" w:cs="Arial"/>
          <w:b/>
          <w:color w:val="31849B" w:themeColor="accent5" w:themeShade="BF"/>
          <w:sz w:val="24"/>
          <w:szCs w:val="24"/>
        </w:rPr>
        <w:t>H</w:t>
      </w:r>
      <w:r w:rsidR="005D0E6D" w:rsidRPr="009B7222">
        <w:rPr>
          <w:rStyle w:val="Strong"/>
          <w:rFonts w:ascii="Arial" w:hAnsi="Arial" w:cs="Arial"/>
          <w:b/>
          <w:color w:val="31849B" w:themeColor="accent5" w:themeShade="BF"/>
          <w:sz w:val="24"/>
          <w:szCs w:val="24"/>
        </w:rPr>
        <w:t>ow much will the</w:t>
      </w:r>
      <w:r w:rsidRPr="009B7222">
        <w:rPr>
          <w:rStyle w:val="Strong"/>
          <w:rFonts w:ascii="Arial" w:hAnsi="Arial" w:cs="Arial"/>
          <w:b/>
          <w:color w:val="31849B" w:themeColor="accent5" w:themeShade="BF"/>
          <w:sz w:val="24"/>
          <w:szCs w:val="24"/>
        </w:rPr>
        <w:t xml:space="preserve"> new special rates</w:t>
      </w:r>
      <w:r w:rsidR="005D0E6D" w:rsidRPr="009B7222">
        <w:rPr>
          <w:rStyle w:val="Strong"/>
          <w:rFonts w:ascii="Arial" w:hAnsi="Arial" w:cs="Arial"/>
          <w:b/>
          <w:color w:val="31849B" w:themeColor="accent5" w:themeShade="BF"/>
          <w:sz w:val="24"/>
          <w:szCs w:val="24"/>
        </w:rPr>
        <w:t xml:space="preserve"> be?</w:t>
      </w:r>
      <w:bookmarkEnd w:id="11"/>
    </w:p>
    <w:p w:rsidR="005D0E6D" w:rsidRDefault="00B87AE7" w:rsidP="005D0E6D">
      <w:pPr>
        <w:spacing w:after="0" w:line="240" w:lineRule="auto"/>
        <w:ind w:left="567"/>
        <w:jc w:val="both"/>
        <w:rPr>
          <w:rFonts w:cs="Arial"/>
          <w:sz w:val="22"/>
        </w:rPr>
      </w:pPr>
      <w:r w:rsidRPr="00F93DEF">
        <w:rPr>
          <w:rFonts w:cs="Arial"/>
          <w:sz w:val="22"/>
        </w:rPr>
        <w:t>The loan for the infrastructure would be repaid through two</w:t>
      </w:r>
      <w:r w:rsidR="005D0E6D" w:rsidRPr="00F93DEF">
        <w:rPr>
          <w:rFonts w:cs="Arial"/>
          <w:sz w:val="22"/>
        </w:rPr>
        <w:t xml:space="preserve"> </w:t>
      </w:r>
      <w:r w:rsidRPr="00F93DEF">
        <w:rPr>
          <w:rFonts w:cs="Arial"/>
          <w:sz w:val="22"/>
        </w:rPr>
        <w:t>separate</w:t>
      </w:r>
      <w:r w:rsidR="005D0E6D" w:rsidRPr="00F93DEF">
        <w:rPr>
          <w:rFonts w:cs="Arial"/>
          <w:sz w:val="22"/>
        </w:rPr>
        <w:t xml:space="preserve"> special rates:</w:t>
      </w:r>
    </w:p>
    <w:p w:rsidR="009B7222" w:rsidRPr="00F93DEF" w:rsidRDefault="009B7222" w:rsidP="005D0E6D">
      <w:pPr>
        <w:spacing w:after="0" w:line="240" w:lineRule="auto"/>
        <w:ind w:left="567"/>
        <w:jc w:val="both"/>
        <w:rPr>
          <w:rFonts w:cs="Arial"/>
          <w:sz w:val="22"/>
        </w:rPr>
      </w:pPr>
    </w:p>
    <w:p w:rsidR="005D0E6D" w:rsidRDefault="005D0E6D" w:rsidP="00F27CC3">
      <w:pPr>
        <w:pStyle w:val="ListParagraph"/>
        <w:numPr>
          <w:ilvl w:val="0"/>
          <w:numId w:val="18"/>
        </w:numPr>
        <w:spacing w:after="0" w:line="240" w:lineRule="auto"/>
        <w:ind w:left="1080"/>
        <w:jc w:val="both"/>
        <w:rPr>
          <w:rFonts w:cs="Arial"/>
          <w:sz w:val="22"/>
        </w:rPr>
      </w:pPr>
      <w:r w:rsidRPr="00F93DEF">
        <w:rPr>
          <w:rFonts w:cs="Arial"/>
          <w:sz w:val="22"/>
        </w:rPr>
        <w:t xml:space="preserve">Road infrastructure special rate.  This will replace the existing road construction special rate and will </w:t>
      </w:r>
      <w:r w:rsidR="00B87AE7" w:rsidRPr="00F93DEF">
        <w:rPr>
          <w:rFonts w:cs="Arial"/>
          <w:sz w:val="22"/>
        </w:rPr>
        <w:t>apply to</w:t>
      </w:r>
      <w:r w:rsidRPr="00F93DEF">
        <w:rPr>
          <w:rFonts w:cs="Arial"/>
          <w:sz w:val="22"/>
        </w:rPr>
        <w:t xml:space="preserve"> all properties within the Estate.  </w:t>
      </w:r>
    </w:p>
    <w:p w:rsidR="009B7222" w:rsidRPr="009B7222" w:rsidRDefault="009B7222" w:rsidP="00F27CC3">
      <w:pPr>
        <w:spacing w:after="0" w:line="240" w:lineRule="auto"/>
        <w:ind w:left="720"/>
        <w:jc w:val="both"/>
        <w:rPr>
          <w:rFonts w:cs="Arial"/>
          <w:sz w:val="22"/>
        </w:rPr>
      </w:pPr>
    </w:p>
    <w:p w:rsidR="005D0E6D" w:rsidRPr="00F93DEF" w:rsidRDefault="005D0E6D" w:rsidP="00F27CC3">
      <w:pPr>
        <w:pStyle w:val="ListParagraph"/>
        <w:numPr>
          <w:ilvl w:val="0"/>
          <w:numId w:val="18"/>
        </w:numPr>
        <w:spacing w:after="0" w:line="240" w:lineRule="auto"/>
        <w:ind w:left="1080"/>
        <w:jc w:val="both"/>
        <w:rPr>
          <w:rFonts w:cs="Arial"/>
          <w:sz w:val="22"/>
        </w:rPr>
      </w:pPr>
      <w:r w:rsidRPr="00F93DEF">
        <w:rPr>
          <w:rFonts w:cs="Arial"/>
          <w:sz w:val="22"/>
        </w:rPr>
        <w:t xml:space="preserve">Electricity infrastructure special rate.  This will </w:t>
      </w:r>
      <w:r w:rsidR="00B87AE7" w:rsidRPr="00F93DEF">
        <w:rPr>
          <w:rFonts w:cs="Arial"/>
          <w:sz w:val="22"/>
        </w:rPr>
        <w:t xml:space="preserve">apply to properties that are partly or wholly zoned ‘E3 – Environmental Management’ or ‘E4 – Environmental Living’.  It </w:t>
      </w:r>
      <w:r w:rsidR="00B87AE7" w:rsidRPr="009B7222">
        <w:rPr>
          <w:rFonts w:cs="Arial"/>
          <w:b/>
          <w:sz w:val="22"/>
        </w:rPr>
        <w:t xml:space="preserve">will </w:t>
      </w:r>
      <w:r w:rsidRPr="009B7222">
        <w:rPr>
          <w:rFonts w:cs="Arial"/>
          <w:b/>
          <w:sz w:val="22"/>
        </w:rPr>
        <w:t>not</w:t>
      </w:r>
      <w:r w:rsidRPr="00F93DEF">
        <w:rPr>
          <w:rFonts w:cs="Arial"/>
          <w:sz w:val="22"/>
        </w:rPr>
        <w:t xml:space="preserve"> </w:t>
      </w:r>
      <w:r w:rsidR="00B87AE7" w:rsidRPr="00F93DEF">
        <w:rPr>
          <w:rFonts w:cs="Arial"/>
          <w:sz w:val="22"/>
        </w:rPr>
        <w:t>apply to</w:t>
      </w:r>
      <w:r w:rsidRPr="00F93DEF">
        <w:rPr>
          <w:rFonts w:cs="Arial"/>
          <w:sz w:val="22"/>
        </w:rPr>
        <w:t xml:space="preserve"> the properties </w:t>
      </w:r>
      <w:r w:rsidR="00B87AE7" w:rsidRPr="00F93DEF">
        <w:rPr>
          <w:rFonts w:cs="Arial"/>
          <w:sz w:val="22"/>
        </w:rPr>
        <w:t>that are entirely within the ‘E2 – Environmental Conservation’</w:t>
      </w:r>
      <w:r w:rsidRPr="00F93DEF">
        <w:rPr>
          <w:rFonts w:cs="Arial"/>
          <w:sz w:val="22"/>
        </w:rPr>
        <w:t xml:space="preserve"> zone.</w:t>
      </w:r>
    </w:p>
    <w:p w:rsidR="005D0E6D" w:rsidRPr="00F93DEF" w:rsidRDefault="005D0E6D" w:rsidP="005D0E6D">
      <w:pPr>
        <w:spacing w:after="0" w:line="240" w:lineRule="auto"/>
        <w:ind w:left="567"/>
        <w:jc w:val="both"/>
        <w:rPr>
          <w:rFonts w:cs="Arial"/>
          <w:sz w:val="22"/>
        </w:rPr>
      </w:pPr>
    </w:p>
    <w:p w:rsidR="00F27CC3" w:rsidRDefault="00331769" w:rsidP="005D0E6D">
      <w:pPr>
        <w:spacing w:after="0" w:line="240" w:lineRule="auto"/>
        <w:ind w:left="567"/>
        <w:jc w:val="both"/>
        <w:rPr>
          <w:rFonts w:cs="Arial"/>
          <w:sz w:val="22"/>
        </w:rPr>
      </w:pPr>
      <w:r w:rsidRPr="00F27CC3">
        <w:rPr>
          <w:rFonts w:cs="Arial"/>
          <w:b/>
          <w:sz w:val="22"/>
        </w:rPr>
        <w:t xml:space="preserve">The attached </w:t>
      </w:r>
      <w:r w:rsidR="00D33415" w:rsidRPr="00F27CC3">
        <w:rPr>
          <w:rFonts w:cs="Arial"/>
          <w:b/>
          <w:sz w:val="22"/>
        </w:rPr>
        <w:t>property list</w:t>
      </w:r>
      <w:r w:rsidR="009C6116" w:rsidRPr="00F27CC3">
        <w:rPr>
          <w:rFonts w:cs="Arial"/>
          <w:b/>
          <w:sz w:val="22"/>
        </w:rPr>
        <w:t xml:space="preserve"> shows</w:t>
      </w:r>
      <w:r w:rsidR="005D0E6D" w:rsidRPr="00F27CC3">
        <w:rPr>
          <w:rFonts w:cs="Arial"/>
          <w:b/>
          <w:sz w:val="22"/>
        </w:rPr>
        <w:t xml:space="preserve"> which special rates </w:t>
      </w:r>
      <w:r w:rsidR="009C6116" w:rsidRPr="00F27CC3">
        <w:rPr>
          <w:rFonts w:cs="Arial"/>
          <w:b/>
          <w:sz w:val="22"/>
        </w:rPr>
        <w:t>will apply to</w:t>
      </w:r>
      <w:r w:rsidR="005D0E6D" w:rsidRPr="00F27CC3">
        <w:rPr>
          <w:rFonts w:cs="Arial"/>
          <w:b/>
          <w:sz w:val="22"/>
        </w:rPr>
        <w:t xml:space="preserve"> each property in the Estate.</w:t>
      </w:r>
      <w:r w:rsidRPr="00F93DEF">
        <w:rPr>
          <w:rFonts w:cs="Arial"/>
          <w:sz w:val="22"/>
        </w:rPr>
        <w:t xml:space="preserve">  </w:t>
      </w:r>
    </w:p>
    <w:p w:rsidR="00F27CC3" w:rsidRDefault="00F27CC3" w:rsidP="005D0E6D">
      <w:pPr>
        <w:spacing w:after="0" w:line="240" w:lineRule="auto"/>
        <w:ind w:left="567"/>
        <w:jc w:val="both"/>
        <w:rPr>
          <w:rFonts w:cs="Arial"/>
          <w:sz w:val="22"/>
        </w:rPr>
      </w:pPr>
    </w:p>
    <w:p w:rsidR="00F27CC3" w:rsidRPr="00F27CC3" w:rsidRDefault="00331769" w:rsidP="00F27CC3">
      <w:pPr>
        <w:pStyle w:val="ListParagraph"/>
        <w:numPr>
          <w:ilvl w:val="0"/>
          <w:numId w:val="31"/>
        </w:numPr>
        <w:spacing w:after="0" w:line="240" w:lineRule="auto"/>
        <w:ind w:left="1080"/>
        <w:jc w:val="both"/>
        <w:rPr>
          <w:rFonts w:cs="Arial"/>
          <w:sz w:val="22"/>
        </w:rPr>
      </w:pPr>
      <w:r w:rsidRPr="00F27CC3">
        <w:rPr>
          <w:rFonts w:cs="Arial"/>
          <w:sz w:val="22"/>
        </w:rPr>
        <w:t xml:space="preserve">Properties for which both special rates will apply are ‘Group A’ properties.  </w:t>
      </w:r>
    </w:p>
    <w:p w:rsidR="00F27CC3" w:rsidRDefault="00F27CC3" w:rsidP="00F27CC3">
      <w:pPr>
        <w:spacing w:after="0" w:line="240" w:lineRule="auto"/>
        <w:ind w:left="360"/>
        <w:jc w:val="both"/>
        <w:rPr>
          <w:rFonts w:cs="Arial"/>
          <w:sz w:val="22"/>
        </w:rPr>
      </w:pPr>
    </w:p>
    <w:p w:rsidR="00F27CC3" w:rsidRPr="00F27CC3" w:rsidRDefault="00331769" w:rsidP="00F27CC3">
      <w:pPr>
        <w:pStyle w:val="ListParagraph"/>
        <w:numPr>
          <w:ilvl w:val="0"/>
          <w:numId w:val="31"/>
        </w:numPr>
        <w:spacing w:after="0" w:line="240" w:lineRule="auto"/>
        <w:ind w:left="1080"/>
        <w:jc w:val="both"/>
        <w:rPr>
          <w:rFonts w:cs="Arial"/>
          <w:sz w:val="22"/>
        </w:rPr>
      </w:pPr>
      <w:r w:rsidRPr="00F27CC3">
        <w:rPr>
          <w:rFonts w:cs="Arial"/>
          <w:sz w:val="22"/>
        </w:rPr>
        <w:t xml:space="preserve">Properties to which only the road infrastructure special rate will apply are ‘Group B’ properties.  </w:t>
      </w:r>
    </w:p>
    <w:p w:rsidR="00F27CC3" w:rsidRDefault="00F27CC3" w:rsidP="00F27CC3">
      <w:pPr>
        <w:spacing w:after="0" w:line="240" w:lineRule="auto"/>
        <w:ind w:left="360"/>
        <w:jc w:val="both"/>
        <w:rPr>
          <w:rFonts w:cs="Arial"/>
          <w:sz w:val="22"/>
        </w:rPr>
      </w:pPr>
    </w:p>
    <w:p w:rsidR="00331769" w:rsidRDefault="00F955C7" w:rsidP="00F27CC3">
      <w:pPr>
        <w:pStyle w:val="ListParagraph"/>
        <w:numPr>
          <w:ilvl w:val="0"/>
          <w:numId w:val="31"/>
        </w:numPr>
        <w:spacing w:after="0" w:line="240" w:lineRule="auto"/>
        <w:ind w:left="1080"/>
        <w:jc w:val="both"/>
        <w:rPr>
          <w:rFonts w:cs="Arial"/>
          <w:sz w:val="22"/>
        </w:rPr>
      </w:pPr>
      <w:r w:rsidRPr="00F27CC3">
        <w:rPr>
          <w:rFonts w:cs="Arial"/>
          <w:sz w:val="22"/>
        </w:rPr>
        <w:t xml:space="preserve">The </w:t>
      </w:r>
      <w:proofErr w:type="spellStart"/>
      <w:r w:rsidRPr="00F27CC3">
        <w:rPr>
          <w:rFonts w:cs="Arial"/>
          <w:sz w:val="22"/>
        </w:rPr>
        <w:t>Valuer</w:t>
      </w:r>
      <w:proofErr w:type="spellEnd"/>
      <w:r w:rsidRPr="00F27CC3">
        <w:rPr>
          <w:rFonts w:cs="Arial"/>
          <w:sz w:val="22"/>
        </w:rPr>
        <w:t xml:space="preserve"> General’s valuations for Group A properties </w:t>
      </w:r>
      <w:r w:rsidR="00A7196C" w:rsidRPr="00F27CC3">
        <w:rPr>
          <w:rFonts w:cs="Arial"/>
          <w:sz w:val="22"/>
        </w:rPr>
        <w:t>are generally considerably</w:t>
      </w:r>
      <w:r w:rsidRPr="00F27CC3">
        <w:rPr>
          <w:rFonts w:cs="Arial"/>
          <w:sz w:val="22"/>
        </w:rPr>
        <w:t xml:space="preserve"> higher than </w:t>
      </w:r>
      <w:r w:rsidR="00A7196C" w:rsidRPr="00F27CC3">
        <w:rPr>
          <w:rFonts w:cs="Arial"/>
          <w:sz w:val="22"/>
        </w:rPr>
        <w:t xml:space="preserve">for </w:t>
      </w:r>
      <w:r w:rsidRPr="00F27CC3">
        <w:rPr>
          <w:rFonts w:cs="Arial"/>
          <w:sz w:val="22"/>
        </w:rPr>
        <w:t>Group B properties</w:t>
      </w:r>
      <w:r w:rsidR="00A7196C" w:rsidRPr="00F27CC3">
        <w:rPr>
          <w:rFonts w:cs="Arial"/>
          <w:sz w:val="22"/>
        </w:rPr>
        <w:t>,</w:t>
      </w:r>
      <w:r w:rsidRPr="00F27CC3">
        <w:rPr>
          <w:rFonts w:cs="Arial"/>
          <w:sz w:val="22"/>
        </w:rPr>
        <w:t xml:space="preserve"> and this influences</w:t>
      </w:r>
      <w:r w:rsidR="00A7196C" w:rsidRPr="00F27CC3">
        <w:rPr>
          <w:rFonts w:cs="Arial"/>
          <w:sz w:val="22"/>
        </w:rPr>
        <w:t xml:space="preserve"> the special rates</w:t>
      </w:r>
      <w:r w:rsidRPr="00F27CC3">
        <w:rPr>
          <w:rFonts w:cs="Arial"/>
          <w:sz w:val="22"/>
        </w:rPr>
        <w:t>.</w:t>
      </w:r>
    </w:p>
    <w:p w:rsidR="00CF1AF0" w:rsidRPr="00CF1AF0" w:rsidRDefault="00CF1AF0" w:rsidP="00CF1AF0">
      <w:pPr>
        <w:spacing w:after="0" w:line="240" w:lineRule="auto"/>
        <w:ind w:left="360"/>
        <w:jc w:val="both"/>
        <w:rPr>
          <w:rFonts w:cs="Arial"/>
          <w:sz w:val="22"/>
        </w:rPr>
      </w:pPr>
    </w:p>
    <w:p w:rsidR="00714181" w:rsidRPr="00F93DEF" w:rsidRDefault="00714181" w:rsidP="00F27CC3">
      <w:pPr>
        <w:spacing w:after="0" w:line="240" w:lineRule="auto"/>
        <w:ind w:left="360"/>
        <w:jc w:val="both"/>
        <w:rPr>
          <w:rFonts w:cs="Arial"/>
          <w:sz w:val="22"/>
        </w:rPr>
      </w:pPr>
    </w:p>
    <w:p w:rsidR="00071C2A" w:rsidRDefault="00F27CC3" w:rsidP="00714181">
      <w:pPr>
        <w:spacing w:after="0" w:line="240" w:lineRule="auto"/>
        <w:ind w:left="567"/>
        <w:jc w:val="both"/>
        <w:rPr>
          <w:rFonts w:cs="Arial"/>
          <w:b/>
          <w:sz w:val="22"/>
        </w:rPr>
      </w:pPr>
      <w:r>
        <w:rPr>
          <w:rFonts w:cs="Arial"/>
          <w:b/>
          <w:sz w:val="22"/>
        </w:rPr>
        <w:t xml:space="preserve">Group A </w:t>
      </w:r>
      <w:r w:rsidR="004B0AD7">
        <w:rPr>
          <w:rFonts w:cs="Arial"/>
          <w:b/>
          <w:sz w:val="22"/>
        </w:rPr>
        <w:t xml:space="preserve">Estimated </w:t>
      </w:r>
      <w:r>
        <w:rPr>
          <w:rFonts w:cs="Arial"/>
          <w:b/>
          <w:sz w:val="22"/>
        </w:rPr>
        <w:t>Properties Average Annual Special Rates 2015/2016</w:t>
      </w:r>
    </w:p>
    <w:p w:rsidR="00F27CC3" w:rsidRPr="009B7222" w:rsidRDefault="00F27CC3" w:rsidP="00714181">
      <w:pPr>
        <w:spacing w:after="0" w:line="240" w:lineRule="auto"/>
        <w:ind w:left="567"/>
        <w:jc w:val="both"/>
        <w:rPr>
          <w:rFonts w:cs="Arial"/>
          <w:b/>
          <w:sz w:val="22"/>
        </w:rPr>
      </w:pPr>
    </w:p>
    <w:p w:rsidR="00071C2A" w:rsidRPr="009B7222" w:rsidRDefault="00071C2A" w:rsidP="009B7222">
      <w:pPr>
        <w:pStyle w:val="Caption"/>
        <w:keepNext/>
        <w:ind w:left="567"/>
        <w:rPr>
          <w:rFonts w:cs="Arial"/>
          <w:color w:val="auto"/>
          <w:sz w:val="20"/>
          <w:szCs w:val="20"/>
          <w:vertAlign w:val="superscript"/>
        </w:rPr>
      </w:pPr>
      <w:r w:rsidRPr="009B7222">
        <w:rPr>
          <w:rFonts w:cs="Arial"/>
          <w:color w:val="auto"/>
          <w:sz w:val="20"/>
          <w:szCs w:val="20"/>
        </w:rPr>
        <w:t xml:space="preserve">Table </w:t>
      </w:r>
      <w:r w:rsidRPr="009B7222">
        <w:rPr>
          <w:rFonts w:cs="Arial"/>
          <w:color w:val="auto"/>
          <w:sz w:val="20"/>
          <w:szCs w:val="20"/>
        </w:rPr>
        <w:fldChar w:fldCharType="begin"/>
      </w:r>
      <w:r w:rsidRPr="009B7222">
        <w:rPr>
          <w:rFonts w:cs="Arial"/>
          <w:color w:val="auto"/>
          <w:sz w:val="20"/>
          <w:szCs w:val="20"/>
        </w:rPr>
        <w:instrText xml:space="preserve"> SEQ Table \* ARABIC </w:instrText>
      </w:r>
      <w:r w:rsidRPr="009B7222">
        <w:rPr>
          <w:rFonts w:cs="Arial"/>
          <w:color w:val="auto"/>
          <w:sz w:val="20"/>
          <w:szCs w:val="20"/>
        </w:rPr>
        <w:fldChar w:fldCharType="separate"/>
      </w:r>
      <w:r w:rsidR="00021810" w:rsidRPr="009B7222">
        <w:rPr>
          <w:rFonts w:cs="Arial"/>
          <w:noProof/>
          <w:color w:val="auto"/>
          <w:sz w:val="20"/>
          <w:szCs w:val="20"/>
        </w:rPr>
        <w:t>1</w:t>
      </w:r>
      <w:r w:rsidRPr="009B7222">
        <w:rPr>
          <w:rFonts w:cs="Arial"/>
          <w:color w:val="auto"/>
          <w:sz w:val="20"/>
          <w:szCs w:val="20"/>
        </w:rPr>
        <w:fldChar w:fldCharType="end"/>
      </w:r>
      <w:r w:rsidRPr="009B7222">
        <w:rPr>
          <w:rFonts w:cs="Arial"/>
          <w:color w:val="auto"/>
          <w:sz w:val="20"/>
          <w:szCs w:val="20"/>
        </w:rPr>
        <w:t xml:space="preserve"> </w:t>
      </w:r>
      <w:r w:rsidR="00F955C7" w:rsidRPr="009B7222">
        <w:rPr>
          <w:rFonts w:cs="Arial"/>
          <w:color w:val="auto"/>
          <w:sz w:val="20"/>
          <w:szCs w:val="20"/>
        </w:rPr>
        <w:t>–</w:t>
      </w:r>
      <w:r w:rsidRPr="009B7222">
        <w:rPr>
          <w:rFonts w:cs="Arial"/>
          <w:color w:val="auto"/>
          <w:sz w:val="20"/>
          <w:szCs w:val="20"/>
        </w:rPr>
        <w:t xml:space="preserve"> </w:t>
      </w:r>
      <w:r w:rsidR="00F955C7" w:rsidRPr="009B7222">
        <w:rPr>
          <w:rFonts w:cs="Arial"/>
          <w:color w:val="auto"/>
          <w:sz w:val="20"/>
          <w:szCs w:val="20"/>
        </w:rPr>
        <w:t>Forecast a</w:t>
      </w:r>
      <w:r w:rsidRPr="009B7222">
        <w:rPr>
          <w:rFonts w:cs="Arial"/>
          <w:color w:val="auto"/>
          <w:sz w:val="20"/>
          <w:szCs w:val="20"/>
        </w:rPr>
        <w:t xml:space="preserve">verage special rates for </w:t>
      </w:r>
      <w:r w:rsidR="00331769" w:rsidRPr="009B7222">
        <w:rPr>
          <w:rFonts w:cs="Arial"/>
          <w:color w:val="auto"/>
          <w:sz w:val="20"/>
          <w:szCs w:val="20"/>
        </w:rPr>
        <w:t xml:space="preserve">‘Group A’ </w:t>
      </w:r>
      <w:r w:rsidR="00F955C7" w:rsidRPr="009B7222">
        <w:rPr>
          <w:rFonts w:cs="Arial"/>
          <w:color w:val="auto"/>
          <w:sz w:val="20"/>
          <w:szCs w:val="20"/>
        </w:rPr>
        <w:t xml:space="preserve">properties </w:t>
      </w:r>
      <w:r w:rsidR="00331769" w:rsidRPr="009B7222">
        <w:rPr>
          <w:rFonts w:cs="Arial"/>
          <w:color w:val="auto"/>
          <w:sz w:val="20"/>
          <w:szCs w:val="20"/>
        </w:rPr>
        <w:t>(</w:t>
      </w:r>
      <w:r w:rsidR="00825B10" w:rsidRPr="009B7222">
        <w:rPr>
          <w:rFonts w:cs="Arial"/>
          <w:color w:val="auto"/>
          <w:sz w:val="20"/>
          <w:szCs w:val="20"/>
        </w:rPr>
        <w:t>see attached property list</w:t>
      </w:r>
      <w:proofErr w:type="gramStart"/>
      <w:r w:rsidR="00825B10" w:rsidRPr="009B7222">
        <w:rPr>
          <w:rFonts w:cs="Arial"/>
          <w:color w:val="auto"/>
          <w:sz w:val="20"/>
          <w:szCs w:val="20"/>
        </w:rPr>
        <w:t>)</w:t>
      </w:r>
      <w:r w:rsidR="000F464D" w:rsidRPr="009B7222">
        <w:rPr>
          <w:rFonts w:cs="Arial"/>
          <w:color w:val="auto"/>
          <w:sz w:val="20"/>
          <w:szCs w:val="20"/>
          <w:vertAlign w:val="superscript"/>
        </w:rPr>
        <w:t>1</w:t>
      </w:r>
      <w:proofErr w:type="gramEnd"/>
    </w:p>
    <w:tbl>
      <w:tblPr>
        <w:tblStyle w:val="TableGrid"/>
        <w:tblW w:w="0" w:type="auto"/>
        <w:tblInd w:w="567" w:type="dxa"/>
        <w:tblLook w:val="04A0" w:firstRow="1" w:lastRow="0" w:firstColumn="1" w:lastColumn="0" w:noHBand="0" w:noVBand="1"/>
      </w:tblPr>
      <w:tblGrid>
        <w:gridCol w:w="2142"/>
        <w:gridCol w:w="2502"/>
        <w:gridCol w:w="2835"/>
        <w:gridCol w:w="2835"/>
      </w:tblGrid>
      <w:tr w:rsidR="00F955C7" w:rsidRPr="00F93DEF" w:rsidTr="009B7222">
        <w:tc>
          <w:tcPr>
            <w:tcW w:w="2142" w:type="dxa"/>
            <w:vMerge w:val="restart"/>
          </w:tcPr>
          <w:p w:rsidR="00F955C7" w:rsidRPr="00F93DEF" w:rsidRDefault="00A96C71" w:rsidP="00251E74">
            <w:pPr>
              <w:jc w:val="both"/>
              <w:rPr>
                <w:rFonts w:ascii="Arial" w:hAnsi="Arial" w:cs="Arial"/>
                <w:b/>
                <w:vertAlign w:val="superscript"/>
              </w:rPr>
            </w:pPr>
            <w:r w:rsidRPr="00F93DEF">
              <w:rPr>
                <w:rFonts w:ascii="Arial" w:hAnsi="Arial" w:cs="Arial"/>
                <w:b/>
              </w:rPr>
              <w:t>Annual special rates</w:t>
            </w:r>
            <w:r w:rsidR="00251E74" w:rsidRPr="009B7222">
              <w:rPr>
                <w:rFonts w:ascii="Arial" w:hAnsi="Arial" w:cs="Arial"/>
                <w:b/>
                <w:sz w:val="20"/>
                <w:szCs w:val="20"/>
                <w:vertAlign w:val="superscript"/>
              </w:rPr>
              <w:t>2</w:t>
            </w:r>
          </w:p>
        </w:tc>
        <w:tc>
          <w:tcPr>
            <w:tcW w:w="8172" w:type="dxa"/>
            <w:gridSpan w:val="3"/>
            <w:vAlign w:val="center"/>
          </w:tcPr>
          <w:p w:rsidR="00F955C7" w:rsidRPr="00F93DEF" w:rsidRDefault="00F955C7" w:rsidP="00F955C7">
            <w:pPr>
              <w:jc w:val="center"/>
              <w:rPr>
                <w:rFonts w:ascii="Arial" w:hAnsi="Arial" w:cs="Arial"/>
                <w:b/>
              </w:rPr>
            </w:pPr>
            <w:r w:rsidRPr="00F93DEF">
              <w:rPr>
                <w:rFonts w:ascii="Arial" w:hAnsi="Arial" w:cs="Arial"/>
                <w:b/>
              </w:rPr>
              <w:t>Loan period</w:t>
            </w:r>
          </w:p>
        </w:tc>
      </w:tr>
      <w:tr w:rsidR="00F955C7" w:rsidRPr="00F93DEF" w:rsidTr="009B7222">
        <w:tc>
          <w:tcPr>
            <w:tcW w:w="2142" w:type="dxa"/>
            <w:vMerge/>
          </w:tcPr>
          <w:p w:rsidR="00F955C7" w:rsidRPr="00F93DEF" w:rsidRDefault="00F955C7" w:rsidP="00714181">
            <w:pPr>
              <w:jc w:val="both"/>
              <w:rPr>
                <w:rFonts w:ascii="Arial" w:hAnsi="Arial" w:cs="Arial"/>
              </w:rPr>
            </w:pPr>
          </w:p>
        </w:tc>
        <w:tc>
          <w:tcPr>
            <w:tcW w:w="2502" w:type="dxa"/>
            <w:vAlign w:val="center"/>
          </w:tcPr>
          <w:p w:rsidR="00F955C7" w:rsidRPr="00F93DEF" w:rsidRDefault="00F955C7" w:rsidP="009B7222">
            <w:pPr>
              <w:jc w:val="center"/>
              <w:rPr>
                <w:rFonts w:ascii="Arial" w:hAnsi="Arial" w:cs="Arial"/>
                <w:b/>
              </w:rPr>
            </w:pPr>
            <w:r w:rsidRPr="00F93DEF">
              <w:rPr>
                <w:rFonts w:ascii="Arial" w:hAnsi="Arial" w:cs="Arial"/>
                <w:b/>
              </w:rPr>
              <w:t>10 years</w:t>
            </w:r>
          </w:p>
        </w:tc>
        <w:tc>
          <w:tcPr>
            <w:tcW w:w="2835" w:type="dxa"/>
            <w:vAlign w:val="center"/>
          </w:tcPr>
          <w:p w:rsidR="00F955C7" w:rsidRPr="00F93DEF" w:rsidRDefault="00F955C7" w:rsidP="009B7222">
            <w:pPr>
              <w:jc w:val="center"/>
              <w:rPr>
                <w:rFonts w:ascii="Arial" w:hAnsi="Arial" w:cs="Arial"/>
                <w:b/>
              </w:rPr>
            </w:pPr>
            <w:r w:rsidRPr="00F93DEF">
              <w:rPr>
                <w:rFonts w:ascii="Arial" w:hAnsi="Arial" w:cs="Arial"/>
                <w:b/>
              </w:rPr>
              <w:t>15 years</w:t>
            </w:r>
          </w:p>
        </w:tc>
        <w:tc>
          <w:tcPr>
            <w:tcW w:w="2835" w:type="dxa"/>
            <w:vAlign w:val="center"/>
          </w:tcPr>
          <w:p w:rsidR="00F955C7" w:rsidRPr="00F93DEF" w:rsidRDefault="00F955C7" w:rsidP="009B7222">
            <w:pPr>
              <w:jc w:val="center"/>
              <w:rPr>
                <w:rFonts w:ascii="Arial" w:hAnsi="Arial" w:cs="Arial"/>
                <w:b/>
              </w:rPr>
            </w:pPr>
            <w:r w:rsidRPr="00F93DEF">
              <w:rPr>
                <w:rFonts w:ascii="Arial" w:hAnsi="Arial" w:cs="Arial"/>
                <w:b/>
              </w:rPr>
              <w:t>20 years</w:t>
            </w:r>
          </w:p>
        </w:tc>
      </w:tr>
      <w:tr w:rsidR="00825B10" w:rsidRPr="00F93DEF" w:rsidTr="009B7222">
        <w:tc>
          <w:tcPr>
            <w:tcW w:w="2142" w:type="dxa"/>
          </w:tcPr>
          <w:p w:rsidR="00825B10" w:rsidRPr="00F93DEF" w:rsidRDefault="00A96C71" w:rsidP="00A96C71">
            <w:pPr>
              <w:jc w:val="both"/>
              <w:rPr>
                <w:rFonts w:ascii="Arial" w:hAnsi="Arial" w:cs="Arial"/>
              </w:rPr>
            </w:pPr>
            <w:r w:rsidRPr="00F93DEF">
              <w:rPr>
                <w:rFonts w:ascii="Arial" w:hAnsi="Arial" w:cs="Arial"/>
              </w:rPr>
              <w:t>R</w:t>
            </w:r>
            <w:r w:rsidR="00825B10" w:rsidRPr="00F93DEF">
              <w:rPr>
                <w:rFonts w:ascii="Arial" w:hAnsi="Arial" w:cs="Arial"/>
              </w:rPr>
              <w:t>oad infrastructure</w:t>
            </w:r>
          </w:p>
        </w:tc>
        <w:tc>
          <w:tcPr>
            <w:tcW w:w="2502" w:type="dxa"/>
            <w:tcMar>
              <w:right w:w="567" w:type="dxa"/>
            </w:tcMar>
            <w:vAlign w:val="center"/>
          </w:tcPr>
          <w:p w:rsidR="00825B10" w:rsidRPr="00F93DEF" w:rsidRDefault="00825B10" w:rsidP="00EB577B">
            <w:pPr>
              <w:jc w:val="right"/>
              <w:rPr>
                <w:rFonts w:ascii="Arial" w:hAnsi="Arial" w:cs="Arial"/>
              </w:rPr>
            </w:pPr>
            <w:r w:rsidRPr="00F93DEF">
              <w:rPr>
                <w:rFonts w:ascii="Arial" w:hAnsi="Arial" w:cs="Arial"/>
              </w:rPr>
              <w:t>$</w:t>
            </w:r>
            <w:r w:rsidR="00EB577B" w:rsidRPr="00F93DEF">
              <w:rPr>
                <w:rFonts w:ascii="Arial" w:hAnsi="Arial" w:cs="Arial"/>
              </w:rPr>
              <w:t>5,691</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$4,018</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$3,407</w:t>
            </w:r>
          </w:p>
        </w:tc>
      </w:tr>
      <w:tr w:rsidR="00825B10" w:rsidRPr="00F93DEF" w:rsidTr="00F27CC3">
        <w:trPr>
          <w:trHeight w:val="687"/>
        </w:trPr>
        <w:tc>
          <w:tcPr>
            <w:tcW w:w="2142" w:type="dxa"/>
          </w:tcPr>
          <w:p w:rsidR="00825B10" w:rsidRPr="00F93DEF" w:rsidRDefault="00A96C71" w:rsidP="00A96C71">
            <w:pPr>
              <w:jc w:val="both"/>
              <w:rPr>
                <w:rFonts w:ascii="Arial" w:hAnsi="Arial" w:cs="Arial"/>
              </w:rPr>
            </w:pPr>
            <w:r w:rsidRPr="00F93DEF">
              <w:rPr>
                <w:rFonts w:ascii="Arial" w:hAnsi="Arial" w:cs="Arial"/>
              </w:rPr>
              <w:t>E</w:t>
            </w:r>
            <w:r w:rsidR="00825B10" w:rsidRPr="00F93DEF">
              <w:rPr>
                <w:rFonts w:ascii="Arial" w:hAnsi="Arial" w:cs="Arial"/>
              </w:rPr>
              <w:t>lectricity infrastructure</w:t>
            </w:r>
          </w:p>
        </w:tc>
        <w:tc>
          <w:tcPr>
            <w:tcW w:w="2502"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$2,011</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$1,527</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$1,295</w:t>
            </w:r>
          </w:p>
        </w:tc>
      </w:tr>
      <w:tr w:rsidR="00825B10" w:rsidRPr="00F93DEF" w:rsidTr="009B7222">
        <w:tc>
          <w:tcPr>
            <w:tcW w:w="2142" w:type="dxa"/>
          </w:tcPr>
          <w:p w:rsidR="00825B10" w:rsidRPr="00F93DEF" w:rsidRDefault="00825B10" w:rsidP="00714181">
            <w:pPr>
              <w:jc w:val="both"/>
              <w:rPr>
                <w:rFonts w:ascii="Arial" w:hAnsi="Arial" w:cs="Arial"/>
                <w:b/>
              </w:rPr>
            </w:pPr>
            <w:r w:rsidRPr="00F93DEF">
              <w:rPr>
                <w:rFonts w:ascii="Arial" w:hAnsi="Arial" w:cs="Arial"/>
                <w:b/>
              </w:rPr>
              <w:t>Total</w:t>
            </w:r>
          </w:p>
        </w:tc>
        <w:tc>
          <w:tcPr>
            <w:tcW w:w="2502" w:type="dxa"/>
            <w:tcMar>
              <w:right w:w="567" w:type="dxa"/>
            </w:tcMar>
            <w:vAlign w:val="center"/>
          </w:tcPr>
          <w:p w:rsidR="00825B10" w:rsidRPr="00F93DEF" w:rsidRDefault="00EB577B" w:rsidP="00331769">
            <w:pPr>
              <w:jc w:val="right"/>
              <w:rPr>
                <w:rFonts w:ascii="Arial" w:hAnsi="Arial" w:cs="Arial"/>
                <w:b/>
              </w:rPr>
            </w:pPr>
            <w:r w:rsidRPr="00F93DEF">
              <w:rPr>
                <w:rFonts w:ascii="Arial" w:hAnsi="Arial" w:cs="Arial"/>
                <w:b/>
              </w:rPr>
              <w:t>$7,702</w:t>
            </w:r>
          </w:p>
        </w:tc>
        <w:tc>
          <w:tcPr>
            <w:tcW w:w="2835" w:type="dxa"/>
            <w:tcMar>
              <w:right w:w="567" w:type="dxa"/>
            </w:tcMar>
            <w:vAlign w:val="center"/>
          </w:tcPr>
          <w:p w:rsidR="00825B10" w:rsidRPr="00F93DEF" w:rsidRDefault="00EB577B" w:rsidP="00331769">
            <w:pPr>
              <w:jc w:val="right"/>
              <w:rPr>
                <w:rFonts w:ascii="Arial" w:hAnsi="Arial" w:cs="Arial"/>
                <w:b/>
              </w:rPr>
            </w:pPr>
            <w:r w:rsidRPr="00F93DEF">
              <w:rPr>
                <w:rFonts w:ascii="Arial" w:hAnsi="Arial" w:cs="Arial"/>
                <w:b/>
              </w:rPr>
              <w:t>$5,545</w:t>
            </w:r>
          </w:p>
        </w:tc>
        <w:tc>
          <w:tcPr>
            <w:tcW w:w="2835" w:type="dxa"/>
            <w:tcMar>
              <w:right w:w="567" w:type="dxa"/>
            </w:tcMar>
            <w:vAlign w:val="center"/>
          </w:tcPr>
          <w:p w:rsidR="00825B10" w:rsidRPr="00F93DEF" w:rsidRDefault="00EB577B" w:rsidP="00331769">
            <w:pPr>
              <w:jc w:val="right"/>
              <w:rPr>
                <w:rFonts w:ascii="Arial" w:hAnsi="Arial" w:cs="Arial"/>
                <w:b/>
              </w:rPr>
            </w:pPr>
            <w:r w:rsidRPr="00F93DEF">
              <w:rPr>
                <w:rFonts w:ascii="Arial" w:hAnsi="Arial" w:cs="Arial"/>
                <w:b/>
              </w:rPr>
              <w:t>$4,702</w:t>
            </w:r>
          </w:p>
        </w:tc>
      </w:tr>
    </w:tbl>
    <w:p w:rsidR="009B7222" w:rsidRDefault="009B7222" w:rsidP="000F464D">
      <w:pPr>
        <w:spacing w:after="0" w:line="240" w:lineRule="auto"/>
        <w:ind w:left="709" w:right="1983" w:hanging="142"/>
        <w:jc w:val="both"/>
        <w:rPr>
          <w:rFonts w:cs="Arial"/>
          <w:sz w:val="20"/>
          <w:szCs w:val="20"/>
          <w:vertAlign w:val="superscript"/>
        </w:rPr>
      </w:pPr>
    </w:p>
    <w:p w:rsidR="00071C2A" w:rsidRPr="009B7222" w:rsidRDefault="009B7222" w:rsidP="000F464D">
      <w:pPr>
        <w:spacing w:after="0" w:line="240" w:lineRule="auto"/>
        <w:ind w:left="709" w:right="1983" w:hanging="142"/>
        <w:jc w:val="both"/>
        <w:rPr>
          <w:rFonts w:cs="Arial"/>
          <w:sz w:val="20"/>
          <w:szCs w:val="20"/>
        </w:rPr>
      </w:pPr>
      <w:r>
        <w:rPr>
          <w:rFonts w:cs="Arial"/>
          <w:sz w:val="20"/>
          <w:szCs w:val="20"/>
        </w:rPr>
        <w:t xml:space="preserve">1 </w:t>
      </w:r>
      <w:r w:rsidR="000F464D" w:rsidRPr="009B7222">
        <w:rPr>
          <w:rFonts w:cs="Arial"/>
          <w:sz w:val="20"/>
          <w:szCs w:val="20"/>
        </w:rPr>
        <w:t>Based on rate assessment data and valuations at {insert date} and may vary before rates are set for 2015/2016.</w:t>
      </w:r>
    </w:p>
    <w:p w:rsidR="00251E74" w:rsidRPr="009B7222" w:rsidRDefault="00251E74" w:rsidP="00251E74">
      <w:pPr>
        <w:spacing w:after="0" w:line="240" w:lineRule="auto"/>
        <w:ind w:left="709" w:right="1983" w:hanging="142"/>
        <w:jc w:val="both"/>
        <w:rPr>
          <w:rFonts w:cs="Arial"/>
          <w:sz w:val="20"/>
          <w:szCs w:val="20"/>
        </w:rPr>
      </w:pPr>
      <w:r w:rsidRPr="009B7222">
        <w:rPr>
          <w:rFonts w:cs="Arial"/>
          <w:sz w:val="20"/>
          <w:szCs w:val="20"/>
          <w:vertAlign w:val="superscript"/>
        </w:rPr>
        <w:t xml:space="preserve">2 </w:t>
      </w:r>
      <w:r w:rsidRPr="009B7222">
        <w:rPr>
          <w:rFonts w:cs="Arial"/>
          <w:sz w:val="20"/>
          <w:szCs w:val="20"/>
        </w:rPr>
        <w:t>Does not include existing rates. Note that the existing road construction special rate will cease upon commencement of the new road infrastructure special rate.</w:t>
      </w:r>
    </w:p>
    <w:p w:rsidR="00CF1AF0" w:rsidRDefault="00CF1AF0" w:rsidP="00F27CC3">
      <w:pPr>
        <w:spacing w:after="0" w:line="240" w:lineRule="auto"/>
        <w:ind w:left="567"/>
        <w:jc w:val="both"/>
        <w:rPr>
          <w:rFonts w:cs="Arial"/>
          <w:b/>
          <w:sz w:val="22"/>
        </w:rPr>
      </w:pPr>
    </w:p>
    <w:p w:rsidR="00CF1AF0" w:rsidRDefault="00CF1AF0" w:rsidP="00F27CC3">
      <w:pPr>
        <w:spacing w:after="0" w:line="240" w:lineRule="auto"/>
        <w:ind w:left="567"/>
        <w:jc w:val="both"/>
        <w:rPr>
          <w:rFonts w:cs="Arial"/>
          <w:b/>
          <w:sz w:val="22"/>
        </w:rPr>
      </w:pPr>
    </w:p>
    <w:p w:rsidR="00F27CC3" w:rsidRDefault="00F27CC3" w:rsidP="00F27CC3">
      <w:pPr>
        <w:spacing w:after="0" w:line="240" w:lineRule="auto"/>
        <w:ind w:left="567"/>
        <w:jc w:val="both"/>
        <w:rPr>
          <w:rFonts w:cs="Arial"/>
          <w:b/>
          <w:sz w:val="22"/>
        </w:rPr>
      </w:pPr>
      <w:r>
        <w:rPr>
          <w:rFonts w:cs="Arial"/>
          <w:b/>
          <w:sz w:val="22"/>
        </w:rPr>
        <w:t xml:space="preserve">Group B </w:t>
      </w:r>
      <w:r w:rsidR="004B0AD7">
        <w:rPr>
          <w:rFonts w:cs="Arial"/>
          <w:b/>
          <w:sz w:val="22"/>
        </w:rPr>
        <w:t xml:space="preserve">Estimated </w:t>
      </w:r>
      <w:r>
        <w:rPr>
          <w:rFonts w:cs="Arial"/>
          <w:b/>
          <w:sz w:val="22"/>
        </w:rPr>
        <w:t>Properties Average Annual Special Rates 2015/2016</w:t>
      </w:r>
    </w:p>
    <w:p w:rsidR="00331769" w:rsidRPr="00F93DEF" w:rsidRDefault="00331769" w:rsidP="00714181">
      <w:pPr>
        <w:spacing w:after="0" w:line="240" w:lineRule="auto"/>
        <w:ind w:left="567"/>
        <w:jc w:val="both"/>
        <w:rPr>
          <w:rFonts w:cs="Arial"/>
          <w:sz w:val="22"/>
        </w:rPr>
      </w:pPr>
    </w:p>
    <w:p w:rsidR="00331769" w:rsidRPr="00F27CC3" w:rsidRDefault="00F27CC3" w:rsidP="00331769">
      <w:pPr>
        <w:pStyle w:val="Caption"/>
        <w:keepNext/>
        <w:rPr>
          <w:rFonts w:cs="Arial"/>
          <w:color w:val="auto"/>
          <w:sz w:val="20"/>
          <w:szCs w:val="20"/>
        </w:rPr>
      </w:pPr>
      <w:r>
        <w:rPr>
          <w:rFonts w:cs="Arial"/>
          <w:sz w:val="20"/>
          <w:szCs w:val="20"/>
        </w:rPr>
        <w:tab/>
      </w:r>
      <w:r w:rsidR="00331769" w:rsidRPr="00F27CC3">
        <w:rPr>
          <w:rFonts w:cs="Arial"/>
          <w:color w:val="auto"/>
          <w:sz w:val="20"/>
          <w:szCs w:val="20"/>
        </w:rPr>
        <w:t xml:space="preserve">Table </w:t>
      </w:r>
      <w:r w:rsidR="00331769" w:rsidRPr="00F27CC3">
        <w:rPr>
          <w:rFonts w:cs="Arial"/>
          <w:color w:val="auto"/>
          <w:sz w:val="20"/>
          <w:szCs w:val="20"/>
        </w:rPr>
        <w:fldChar w:fldCharType="begin"/>
      </w:r>
      <w:r w:rsidR="00331769" w:rsidRPr="00F27CC3">
        <w:rPr>
          <w:rFonts w:cs="Arial"/>
          <w:color w:val="auto"/>
          <w:sz w:val="20"/>
          <w:szCs w:val="20"/>
        </w:rPr>
        <w:instrText xml:space="preserve"> SEQ Table \* ARABIC </w:instrText>
      </w:r>
      <w:r w:rsidR="00331769" w:rsidRPr="00F27CC3">
        <w:rPr>
          <w:rFonts w:cs="Arial"/>
          <w:color w:val="auto"/>
          <w:sz w:val="20"/>
          <w:szCs w:val="20"/>
        </w:rPr>
        <w:fldChar w:fldCharType="separate"/>
      </w:r>
      <w:r w:rsidR="00021810" w:rsidRPr="00F27CC3">
        <w:rPr>
          <w:rFonts w:cs="Arial"/>
          <w:color w:val="auto"/>
          <w:sz w:val="20"/>
          <w:szCs w:val="20"/>
        </w:rPr>
        <w:t>2</w:t>
      </w:r>
      <w:r w:rsidR="00331769" w:rsidRPr="00F27CC3">
        <w:rPr>
          <w:rFonts w:cs="Arial"/>
          <w:color w:val="auto"/>
          <w:sz w:val="20"/>
          <w:szCs w:val="20"/>
        </w:rPr>
        <w:fldChar w:fldCharType="end"/>
      </w:r>
      <w:r w:rsidR="00F955C7" w:rsidRPr="00F27CC3">
        <w:rPr>
          <w:rFonts w:cs="Arial"/>
          <w:color w:val="auto"/>
          <w:sz w:val="20"/>
          <w:szCs w:val="20"/>
        </w:rPr>
        <w:t xml:space="preserve"> – Forecast a</w:t>
      </w:r>
      <w:r w:rsidR="00331769" w:rsidRPr="00F27CC3">
        <w:rPr>
          <w:rFonts w:cs="Arial"/>
          <w:color w:val="auto"/>
          <w:sz w:val="20"/>
          <w:szCs w:val="20"/>
        </w:rPr>
        <w:t xml:space="preserve">verage special rates for ‘Group B’ </w:t>
      </w:r>
      <w:r w:rsidR="00F955C7" w:rsidRPr="00F27CC3">
        <w:rPr>
          <w:rFonts w:cs="Arial"/>
          <w:color w:val="auto"/>
          <w:sz w:val="20"/>
          <w:szCs w:val="20"/>
        </w:rPr>
        <w:t xml:space="preserve">properties </w:t>
      </w:r>
      <w:r w:rsidR="00331769" w:rsidRPr="00F27CC3">
        <w:rPr>
          <w:rFonts w:cs="Arial"/>
          <w:color w:val="auto"/>
          <w:sz w:val="20"/>
          <w:szCs w:val="20"/>
        </w:rPr>
        <w:t>(</w:t>
      </w:r>
      <w:r w:rsidR="00825B10" w:rsidRPr="00F27CC3">
        <w:rPr>
          <w:rFonts w:cs="Arial"/>
          <w:color w:val="auto"/>
          <w:sz w:val="20"/>
          <w:szCs w:val="20"/>
        </w:rPr>
        <w:t>see attached property list</w:t>
      </w:r>
      <w:proofErr w:type="gramStart"/>
      <w:r w:rsidR="00331769" w:rsidRPr="00F27CC3">
        <w:rPr>
          <w:rFonts w:cs="Arial"/>
          <w:color w:val="auto"/>
          <w:sz w:val="20"/>
          <w:szCs w:val="20"/>
        </w:rPr>
        <w:t>)</w:t>
      </w:r>
      <w:r w:rsidR="000F464D" w:rsidRPr="00F27CC3">
        <w:rPr>
          <w:rFonts w:cs="Arial"/>
          <w:color w:val="auto"/>
          <w:sz w:val="20"/>
          <w:szCs w:val="20"/>
        </w:rPr>
        <w:t>1</w:t>
      </w:r>
      <w:proofErr w:type="gramEnd"/>
    </w:p>
    <w:tbl>
      <w:tblPr>
        <w:tblStyle w:val="TableGrid"/>
        <w:tblW w:w="0" w:type="auto"/>
        <w:tblInd w:w="567" w:type="dxa"/>
        <w:tblLook w:val="04A0" w:firstRow="1" w:lastRow="0" w:firstColumn="1" w:lastColumn="0" w:noHBand="0" w:noVBand="1"/>
      </w:tblPr>
      <w:tblGrid>
        <w:gridCol w:w="2142"/>
        <w:gridCol w:w="2502"/>
        <w:gridCol w:w="2835"/>
        <w:gridCol w:w="2835"/>
      </w:tblGrid>
      <w:tr w:rsidR="00F955C7" w:rsidRPr="00F93DEF" w:rsidTr="00F27CC3">
        <w:tc>
          <w:tcPr>
            <w:tcW w:w="2142" w:type="dxa"/>
            <w:vMerge w:val="restart"/>
          </w:tcPr>
          <w:p w:rsidR="00F955C7" w:rsidRPr="00F93DEF" w:rsidRDefault="00251E74" w:rsidP="00787DDB">
            <w:pPr>
              <w:jc w:val="both"/>
              <w:rPr>
                <w:rFonts w:ascii="Arial" w:hAnsi="Arial" w:cs="Arial"/>
              </w:rPr>
            </w:pPr>
            <w:r w:rsidRPr="00F93DEF">
              <w:rPr>
                <w:rFonts w:ascii="Arial" w:hAnsi="Arial" w:cs="Arial"/>
                <w:b/>
              </w:rPr>
              <w:t>Annual special rates</w:t>
            </w:r>
            <w:r w:rsidRPr="00F93DEF">
              <w:rPr>
                <w:rFonts w:ascii="Arial" w:hAnsi="Arial" w:cs="Arial"/>
                <w:b/>
                <w:color w:val="4F81BD" w:themeColor="accent1"/>
                <w:sz w:val="20"/>
                <w:szCs w:val="20"/>
                <w:vertAlign w:val="superscript"/>
              </w:rPr>
              <w:t>2</w:t>
            </w:r>
          </w:p>
        </w:tc>
        <w:tc>
          <w:tcPr>
            <w:tcW w:w="8172" w:type="dxa"/>
            <w:gridSpan w:val="3"/>
            <w:vAlign w:val="center"/>
          </w:tcPr>
          <w:p w:rsidR="00F955C7" w:rsidRPr="00F93DEF" w:rsidRDefault="00F955C7" w:rsidP="00F955C7">
            <w:pPr>
              <w:jc w:val="center"/>
              <w:rPr>
                <w:rFonts w:ascii="Arial" w:hAnsi="Arial" w:cs="Arial"/>
                <w:b/>
              </w:rPr>
            </w:pPr>
            <w:r w:rsidRPr="00F93DEF">
              <w:rPr>
                <w:rFonts w:ascii="Arial" w:hAnsi="Arial" w:cs="Arial"/>
                <w:b/>
              </w:rPr>
              <w:t>Loan period</w:t>
            </w:r>
          </w:p>
        </w:tc>
      </w:tr>
      <w:tr w:rsidR="00F955C7" w:rsidRPr="00F93DEF" w:rsidTr="00F27CC3">
        <w:tc>
          <w:tcPr>
            <w:tcW w:w="2142" w:type="dxa"/>
            <w:vMerge/>
          </w:tcPr>
          <w:p w:rsidR="00F955C7" w:rsidRPr="00F93DEF" w:rsidRDefault="00F955C7" w:rsidP="00787DDB">
            <w:pPr>
              <w:jc w:val="both"/>
              <w:rPr>
                <w:rFonts w:ascii="Arial" w:hAnsi="Arial" w:cs="Arial"/>
              </w:rPr>
            </w:pPr>
          </w:p>
        </w:tc>
        <w:tc>
          <w:tcPr>
            <w:tcW w:w="2502" w:type="dxa"/>
            <w:vAlign w:val="center"/>
          </w:tcPr>
          <w:p w:rsidR="00F955C7" w:rsidRPr="00F93DEF" w:rsidRDefault="00F955C7" w:rsidP="00F955C7">
            <w:pPr>
              <w:jc w:val="center"/>
              <w:rPr>
                <w:rFonts w:ascii="Arial" w:hAnsi="Arial" w:cs="Arial"/>
                <w:b/>
              </w:rPr>
            </w:pPr>
            <w:r w:rsidRPr="00F93DEF">
              <w:rPr>
                <w:rFonts w:ascii="Arial" w:hAnsi="Arial" w:cs="Arial"/>
                <w:b/>
              </w:rPr>
              <w:t>10 years</w:t>
            </w:r>
          </w:p>
        </w:tc>
        <w:tc>
          <w:tcPr>
            <w:tcW w:w="2835" w:type="dxa"/>
            <w:vAlign w:val="center"/>
          </w:tcPr>
          <w:p w:rsidR="00F955C7" w:rsidRPr="00F93DEF" w:rsidRDefault="00F955C7" w:rsidP="00F955C7">
            <w:pPr>
              <w:jc w:val="center"/>
              <w:rPr>
                <w:rFonts w:ascii="Arial" w:hAnsi="Arial" w:cs="Arial"/>
                <w:b/>
              </w:rPr>
            </w:pPr>
            <w:r w:rsidRPr="00F93DEF">
              <w:rPr>
                <w:rFonts w:ascii="Arial" w:hAnsi="Arial" w:cs="Arial"/>
                <w:b/>
              </w:rPr>
              <w:t>15 years</w:t>
            </w:r>
          </w:p>
        </w:tc>
        <w:tc>
          <w:tcPr>
            <w:tcW w:w="2835" w:type="dxa"/>
            <w:vAlign w:val="center"/>
          </w:tcPr>
          <w:p w:rsidR="00F955C7" w:rsidRPr="00F93DEF" w:rsidRDefault="00F955C7" w:rsidP="00F955C7">
            <w:pPr>
              <w:jc w:val="center"/>
              <w:rPr>
                <w:rFonts w:ascii="Arial" w:hAnsi="Arial" w:cs="Arial"/>
                <w:b/>
              </w:rPr>
            </w:pPr>
            <w:r w:rsidRPr="00F93DEF">
              <w:rPr>
                <w:rFonts w:ascii="Arial" w:hAnsi="Arial" w:cs="Arial"/>
                <w:b/>
              </w:rPr>
              <w:t>20 years</w:t>
            </w:r>
          </w:p>
        </w:tc>
      </w:tr>
      <w:tr w:rsidR="00825B10" w:rsidRPr="00F93DEF" w:rsidTr="00F27CC3">
        <w:tc>
          <w:tcPr>
            <w:tcW w:w="2142" w:type="dxa"/>
          </w:tcPr>
          <w:p w:rsidR="00825B10" w:rsidRPr="00F93DEF" w:rsidRDefault="00825B10" w:rsidP="00787DDB">
            <w:pPr>
              <w:jc w:val="both"/>
              <w:rPr>
                <w:rFonts w:ascii="Arial" w:hAnsi="Arial" w:cs="Arial"/>
              </w:rPr>
            </w:pPr>
            <w:r w:rsidRPr="00F93DEF">
              <w:rPr>
                <w:rFonts w:ascii="Arial" w:hAnsi="Arial" w:cs="Arial"/>
              </w:rPr>
              <w:t>Road infrastructure</w:t>
            </w:r>
          </w:p>
        </w:tc>
        <w:tc>
          <w:tcPr>
            <w:tcW w:w="2502"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$2,958</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$2,245</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$1,903</w:t>
            </w:r>
          </w:p>
        </w:tc>
      </w:tr>
      <w:tr w:rsidR="00825B10" w:rsidRPr="00F93DEF" w:rsidTr="00F27CC3">
        <w:tc>
          <w:tcPr>
            <w:tcW w:w="2142" w:type="dxa"/>
          </w:tcPr>
          <w:p w:rsidR="00825B10" w:rsidRPr="00F93DEF" w:rsidRDefault="00825B10" w:rsidP="00787DDB">
            <w:pPr>
              <w:jc w:val="both"/>
              <w:rPr>
                <w:rFonts w:ascii="Arial" w:hAnsi="Arial" w:cs="Arial"/>
              </w:rPr>
            </w:pPr>
            <w:r w:rsidRPr="00F93DEF">
              <w:rPr>
                <w:rFonts w:ascii="Arial" w:hAnsi="Arial" w:cs="Arial"/>
              </w:rPr>
              <w:t>Electricity infrastructure</w:t>
            </w:r>
          </w:p>
        </w:tc>
        <w:tc>
          <w:tcPr>
            <w:tcW w:w="2502" w:type="dxa"/>
            <w:tcMar>
              <w:right w:w="567" w:type="dxa"/>
            </w:tcMar>
            <w:vAlign w:val="center"/>
          </w:tcPr>
          <w:p w:rsidR="00825B10" w:rsidRPr="00F93DEF" w:rsidRDefault="00EF799E" w:rsidP="00331769">
            <w:pPr>
              <w:jc w:val="right"/>
              <w:rPr>
                <w:rFonts w:ascii="Arial" w:hAnsi="Arial" w:cs="Arial"/>
              </w:rPr>
            </w:pPr>
            <w:r w:rsidRPr="00F93DEF">
              <w:rPr>
                <w:rFonts w:ascii="Arial" w:hAnsi="Arial" w:cs="Arial"/>
              </w:rPr>
              <w:t>nil</w:t>
            </w:r>
          </w:p>
        </w:tc>
        <w:tc>
          <w:tcPr>
            <w:tcW w:w="2835" w:type="dxa"/>
            <w:tcMar>
              <w:right w:w="567" w:type="dxa"/>
            </w:tcMar>
            <w:vAlign w:val="center"/>
          </w:tcPr>
          <w:p w:rsidR="00825B10" w:rsidRPr="00F93DEF" w:rsidRDefault="00EF799E" w:rsidP="00331769">
            <w:pPr>
              <w:jc w:val="right"/>
              <w:rPr>
                <w:rFonts w:ascii="Arial" w:hAnsi="Arial" w:cs="Arial"/>
              </w:rPr>
            </w:pPr>
            <w:r w:rsidRPr="00F93DEF">
              <w:rPr>
                <w:rFonts w:ascii="Arial" w:hAnsi="Arial" w:cs="Arial"/>
              </w:rPr>
              <w:t>nil</w:t>
            </w:r>
          </w:p>
        </w:tc>
        <w:tc>
          <w:tcPr>
            <w:tcW w:w="2835" w:type="dxa"/>
            <w:tcMar>
              <w:right w:w="567" w:type="dxa"/>
            </w:tcMar>
            <w:vAlign w:val="center"/>
          </w:tcPr>
          <w:p w:rsidR="00825B10" w:rsidRPr="00F93DEF" w:rsidRDefault="00EB577B" w:rsidP="00331769">
            <w:pPr>
              <w:jc w:val="right"/>
              <w:rPr>
                <w:rFonts w:ascii="Arial" w:hAnsi="Arial" w:cs="Arial"/>
              </w:rPr>
            </w:pPr>
            <w:r w:rsidRPr="00F93DEF">
              <w:rPr>
                <w:rFonts w:ascii="Arial" w:hAnsi="Arial" w:cs="Arial"/>
              </w:rPr>
              <w:t>N</w:t>
            </w:r>
            <w:r w:rsidR="00EF799E" w:rsidRPr="00F93DEF">
              <w:rPr>
                <w:rFonts w:ascii="Arial" w:hAnsi="Arial" w:cs="Arial"/>
              </w:rPr>
              <w:t>il</w:t>
            </w:r>
          </w:p>
        </w:tc>
      </w:tr>
      <w:tr w:rsidR="00825B10" w:rsidRPr="00F93DEF" w:rsidTr="00F27CC3">
        <w:tc>
          <w:tcPr>
            <w:tcW w:w="2142" w:type="dxa"/>
          </w:tcPr>
          <w:p w:rsidR="00825B10" w:rsidRPr="00F93DEF" w:rsidRDefault="00A96C71" w:rsidP="00787DDB">
            <w:pPr>
              <w:jc w:val="both"/>
              <w:rPr>
                <w:rFonts w:ascii="Arial" w:hAnsi="Arial" w:cs="Arial"/>
                <w:b/>
              </w:rPr>
            </w:pPr>
            <w:r w:rsidRPr="00F93DEF">
              <w:rPr>
                <w:rFonts w:ascii="Arial" w:hAnsi="Arial" w:cs="Arial"/>
                <w:b/>
              </w:rPr>
              <w:t xml:space="preserve">Annual </w:t>
            </w:r>
            <w:r w:rsidR="00825B10" w:rsidRPr="00F93DEF">
              <w:rPr>
                <w:rFonts w:ascii="Arial" w:hAnsi="Arial" w:cs="Arial"/>
                <w:b/>
              </w:rPr>
              <w:t>Total</w:t>
            </w:r>
          </w:p>
        </w:tc>
        <w:tc>
          <w:tcPr>
            <w:tcW w:w="2502" w:type="dxa"/>
            <w:tcMar>
              <w:right w:w="567" w:type="dxa"/>
            </w:tcMar>
            <w:vAlign w:val="center"/>
          </w:tcPr>
          <w:p w:rsidR="00825B10" w:rsidRPr="00F93DEF" w:rsidRDefault="00825B10" w:rsidP="00EB577B">
            <w:pPr>
              <w:jc w:val="right"/>
              <w:rPr>
                <w:rFonts w:ascii="Arial" w:hAnsi="Arial" w:cs="Arial"/>
                <w:b/>
              </w:rPr>
            </w:pPr>
            <w:r w:rsidRPr="00F93DEF">
              <w:rPr>
                <w:rFonts w:ascii="Arial" w:hAnsi="Arial" w:cs="Arial"/>
                <w:b/>
              </w:rPr>
              <w:t>$</w:t>
            </w:r>
            <w:r w:rsidR="00EB577B" w:rsidRPr="00F93DEF">
              <w:rPr>
                <w:rFonts w:ascii="Arial" w:hAnsi="Arial" w:cs="Arial"/>
                <w:b/>
              </w:rPr>
              <w:t>2,958</w:t>
            </w:r>
          </w:p>
        </w:tc>
        <w:tc>
          <w:tcPr>
            <w:tcW w:w="2835" w:type="dxa"/>
            <w:tcMar>
              <w:right w:w="567" w:type="dxa"/>
            </w:tcMar>
            <w:vAlign w:val="center"/>
          </w:tcPr>
          <w:p w:rsidR="00825B10" w:rsidRPr="00F93DEF" w:rsidRDefault="00EB577B" w:rsidP="00331769">
            <w:pPr>
              <w:jc w:val="right"/>
              <w:rPr>
                <w:rFonts w:ascii="Arial" w:hAnsi="Arial" w:cs="Arial"/>
                <w:b/>
              </w:rPr>
            </w:pPr>
            <w:r w:rsidRPr="00F93DEF">
              <w:rPr>
                <w:rFonts w:ascii="Arial" w:hAnsi="Arial" w:cs="Arial"/>
                <w:b/>
              </w:rPr>
              <w:t>$2,245</w:t>
            </w:r>
          </w:p>
        </w:tc>
        <w:tc>
          <w:tcPr>
            <w:tcW w:w="2835" w:type="dxa"/>
            <w:tcMar>
              <w:right w:w="567" w:type="dxa"/>
            </w:tcMar>
            <w:vAlign w:val="center"/>
          </w:tcPr>
          <w:p w:rsidR="00825B10" w:rsidRPr="00F93DEF" w:rsidRDefault="00EB577B" w:rsidP="00331769">
            <w:pPr>
              <w:jc w:val="right"/>
              <w:rPr>
                <w:rFonts w:ascii="Arial" w:hAnsi="Arial" w:cs="Arial"/>
                <w:b/>
              </w:rPr>
            </w:pPr>
            <w:r w:rsidRPr="00F93DEF">
              <w:rPr>
                <w:rFonts w:ascii="Arial" w:hAnsi="Arial" w:cs="Arial"/>
                <w:b/>
              </w:rPr>
              <w:t>$1,903</w:t>
            </w:r>
          </w:p>
        </w:tc>
      </w:tr>
    </w:tbl>
    <w:p w:rsidR="00F27CC3" w:rsidRDefault="00F27CC3" w:rsidP="00251E74">
      <w:pPr>
        <w:spacing w:after="0" w:line="240" w:lineRule="auto"/>
        <w:ind w:left="709" w:right="1983" w:hanging="142"/>
        <w:jc w:val="both"/>
        <w:rPr>
          <w:rFonts w:cs="Arial"/>
          <w:sz w:val="20"/>
          <w:szCs w:val="20"/>
          <w:vertAlign w:val="superscript"/>
        </w:rPr>
      </w:pPr>
    </w:p>
    <w:p w:rsidR="00251E74" w:rsidRPr="00F27CC3" w:rsidRDefault="00F27CC3" w:rsidP="00251E74">
      <w:pPr>
        <w:spacing w:after="0" w:line="240" w:lineRule="auto"/>
        <w:ind w:left="709" w:right="1983" w:hanging="142"/>
        <w:jc w:val="both"/>
        <w:rPr>
          <w:rFonts w:cs="Arial"/>
          <w:sz w:val="20"/>
          <w:szCs w:val="20"/>
        </w:rPr>
      </w:pPr>
      <w:r w:rsidRPr="00F27CC3">
        <w:rPr>
          <w:rFonts w:cs="Arial"/>
          <w:sz w:val="18"/>
          <w:szCs w:val="18"/>
        </w:rPr>
        <w:t>1</w:t>
      </w:r>
      <w:r>
        <w:rPr>
          <w:rFonts w:cs="Arial"/>
          <w:sz w:val="20"/>
          <w:szCs w:val="20"/>
        </w:rPr>
        <w:t xml:space="preserve"> </w:t>
      </w:r>
      <w:r w:rsidR="00251E74" w:rsidRPr="00F27CC3">
        <w:rPr>
          <w:rFonts w:cs="Arial"/>
          <w:sz w:val="20"/>
          <w:szCs w:val="20"/>
        </w:rPr>
        <w:t>Based on rate assessment data and valuations at {insert date} and may vary before rates are set for 2015/2016.</w:t>
      </w:r>
    </w:p>
    <w:p w:rsidR="00251E74" w:rsidRDefault="00251E74" w:rsidP="00251E74">
      <w:pPr>
        <w:spacing w:after="0" w:line="240" w:lineRule="auto"/>
        <w:ind w:left="709" w:right="1983" w:hanging="142"/>
        <w:jc w:val="both"/>
        <w:rPr>
          <w:rFonts w:cs="Arial"/>
          <w:sz w:val="20"/>
          <w:szCs w:val="20"/>
        </w:rPr>
      </w:pPr>
      <w:r w:rsidRPr="00F27CC3">
        <w:rPr>
          <w:rFonts w:cs="Arial"/>
          <w:sz w:val="20"/>
          <w:szCs w:val="20"/>
          <w:vertAlign w:val="superscript"/>
        </w:rPr>
        <w:t xml:space="preserve">2 </w:t>
      </w:r>
      <w:r w:rsidRPr="00F27CC3">
        <w:rPr>
          <w:rFonts w:cs="Arial"/>
          <w:sz w:val="20"/>
          <w:szCs w:val="20"/>
        </w:rPr>
        <w:t>Does not include existing rates.  Note that the existing road construction special rate will cease upon commencement of the new road infrastructure special rate.</w:t>
      </w:r>
    </w:p>
    <w:p w:rsidR="00CF1AF0" w:rsidRPr="00F27CC3" w:rsidRDefault="00CF1AF0" w:rsidP="00251E74">
      <w:pPr>
        <w:spacing w:after="0" w:line="240" w:lineRule="auto"/>
        <w:ind w:left="709" w:right="1983" w:hanging="142"/>
        <w:jc w:val="both"/>
        <w:rPr>
          <w:rFonts w:cs="Arial"/>
          <w:sz w:val="20"/>
          <w:szCs w:val="20"/>
        </w:rPr>
      </w:pPr>
    </w:p>
    <w:p w:rsidR="00C22E83" w:rsidRPr="00F27CC3" w:rsidRDefault="00C22E83" w:rsidP="00F27CC3">
      <w:pPr>
        <w:pStyle w:val="Heading1"/>
        <w:numPr>
          <w:ilvl w:val="0"/>
          <w:numId w:val="21"/>
        </w:numPr>
        <w:rPr>
          <w:rStyle w:val="Strong"/>
          <w:rFonts w:ascii="Arial" w:hAnsi="Arial" w:cs="Arial"/>
          <w:b/>
          <w:color w:val="31849B" w:themeColor="accent5" w:themeShade="BF"/>
          <w:sz w:val="24"/>
          <w:szCs w:val="24"/>
        </w:rPr>
      </w:pPr>
      <w:bookmarkStart w:id="12" w:name="_Toc408815858"/>
      <w:r w:rsidRPr="00F27CC3">
        <w:rPr>
          <w:rStyle w:val="Strong"/>
          <w:rFonts w:ascii="Arial" w:hAnsi="Arial" w:cs="Arial"/>
          <w:b/>
          <w:color w:val="31849B" w:themeColor="accent5" w:themeShade="BF"/>
          <w:sz w:val="24"/>
          <w:szCs w:val="24"/>
        </w:rPr>
        <w:lastRenderedPageBreak/>
        <w:t>How can I find out the new valuation for my land?</w:t>
      </w:r>
      <w:bookmarkEnd w:id="12"/>
    </w:p>
    <w:p w:rsidR="00C22E83" w:rsidRPr="00F93DEF" w:rsidRDefault="00C22E83" w:rsidP="00F27CC3">
      <w:pPr>
        <w:pStyle w:val="NormalWeb"/>
        <w:numPr>
          <w:ilvl w:val="0"/>
          <w:numId w:val="32"/>
        </w:numPr>
        <w:shd w:val="clear" w:color="auto" w:fill="FFFFFF"/>
        <w:rPr>
          <w:rFonts w:ascii="Arial" w:hAnsi="Arial" w:cs="Arial"/>
          <w:color w:val="000000"/>
          <w:sz w:val="22"/>
          <w:szCs w:val="22"/>
          <w:lang w:val="en"/>
        </w:rPr>
      </w:pPr>
      <w:r w:rsidRPr="00F93DEF">
        <w:rPr>
          <w:rFonts w:ascii="Arial" w:hAnsi="Arial" w:cs="Arial"/>
          <w:color w:val="000000"/>
          <w:sz w:val="22"/>
          <w:szCs w:val="22"/>
          <w:lang w:val="en"/>
        </w:rPr>
        <w:t xml:space="preserve">The </w:t>
      </w:r>
      <w:proofErr w:type="spellStart"/>
      <w:r w:rsidRPr="00F93DEF">
        <w:rPr>
          <w:rFonts w:ascii="Arial" w:hAnsi="Arial" w:cs="Arial"/>
          <w:color w:val="000000"/>
          <w:sz w:val="22"/>
          <w:szCs w:val="22"/>
          <w:lang w:val="en"/>
        </w:rPr>
        <w:t>Valuer</w:t>
      </w:r>
      <w:proofErr w:type="spellEnd"/>
      <w:r w:rsidRPr="00F93DEF">
        <w:rPr>
          <w:rFonts w:ascii="Arial" w:hAnsi="Arial" w:cs="Arial"/>
          <w:color w:val="000000"/>
          <w:sz w:val="22"/>
          <w:szCs w:val="22"/>
          <w:lang w:val="en"/>
        </w:rPr>
        <w:t xml:space="preserve"> General issues a Notice of Valuation to landholders to advise them of their new land value that will be used in the calculation of </w:t>
      </w:r>
      <w:hyperlink r:id="rId10" w:tooltip="Go to council rates page" w:history="1">
        <w:r w:rsidRPr="00F93DEF">
          <w:rPr>
            <w:rStyle w:val="Hyperlink"/>
            <w:rFonts w:ascii="Arial" w:hAnsi="Arial" w:cs="Arial"/>
            <w:sz w:val="22"/>
            <w:szCs w:val="22"/>
            <w:lang w:val="en"/>
          </w:rPr>
          <w:t>council rates</w:t>
        </w:r>
      </w:hyperlink>
      <w:r w:rsidRPr="00F93DEF">
        <w:rPr>
          <w:rFonts w:ascii="Arial" w:hAnsi="Arial" w:cs="Arial"/>
          <w:color w:val="000000"/>
          <w:sz w:val="22"/>
          <w:szCs w:val="22"/>
          <w:lang w:val="en"/>
        </w:rPr>
        <w:t>.</w:t>
      </w:r>
    </w:p>
    <w:p w:rsidR="00C22E83" w:rsidRPr="00F93DEF" w:rsidRDefault="00C22E83" w:rsidP="00F27CC3">
      <w:pPr>
        <w:pStyle w:val="NormalWeb"/>
        <w:numPr>
          <w:ilvl w:val="0"/>
          <w:numId w:val="32"/>
        </w:numPr>
        <w:shd w:val="clear" w:color="auto" w:fill="FFFFFF"/>
        <w:rPr>
          <w:rFonts w:ascii="Arial" w:hAnsi="Arial" w:cs="Arial"/>
          <w:color w:val="000000"/>
          <w:sz w:val="22"/>
          <w:szCs w:val="22"/>
          <w:lang w:val="en"/>
        </w:rPr>
      </w:pPr>
      <w:r w:rsidRPr="00F93DEF">
        <w:rPr>
          <w:rFonts w:ascii="Arial" w:hAnsi="Arial" w:cs="Arial"/>
          <w:color w:val="000000"/>
          <w:sz w:val="22"/>
          <w:szCs w:val="22"/>
          <w:lang w:val="en"/>
        </w:rPr>
        <w:t>Notices of Valuation are issued prior to the land value being used for rating purposes to ensure the landholder has the opportunity to consider the land value first.</w:t>
      </w:r>
    </w:p>
    <w:p w:rsidR="00C22E83" w:rsidRPr="00F93DEF" w:rsidRDefault="00C22E83" w:rsidP="00F27CC3">
      <w:pPr>
        <w:pStyle w:val="NormalWeb"/>
        <w:numPr>
          <w:ilvl w:val="0"/>
          <w:numId w:val="32"/>
        </w:numPr>
        <w:shd w:val="clear" w:color="auto" w:fill="FFFFFF"/>
        <w:rPr>
          <w:rFonts w:ascii="Arial" w:hAnsi="Arial" w:cs="Arial"/>
          <w:color w:val="000000"/>
          <w:sz w:val="22"/>
          <w:szCs w:val="22"/>
          <w:lang w:val="en"/>
        </w:rPr>
      </w:pPr>
      <w:r w:rsidRPr="00F93DEF">
        <w:rPr>
          <w:rFonts w:ascii="Arial" w:hAnsi="Arial" w:cs="Arial"/>
          <w:color w:val="000000"/>
          <w:sz w:val="22"/>
          <w:szCs w:val="22"/>
          <w:lang w:val="en"/>
        </w:rPr>
        <w:t>Notices of Valuation are usually issued every three to four years.</w:t>
      </w:r>
    </w:p>
    <w:p w:rsidR="00C22E83" w:rsidRPr="00F93DEF" w:rsidRDefault="00C22E83" w:rsidP="00F27CC3">
      <w:pPr>
        <w:pStyle w:val="NormalWeb"/>
        <w:numPr>
          <w:ilvl w:val="0"/>
          <w:numId w:val="32"/>
        </w:numPr>
        <w:shd w:val="clear" w:color="auto" w:fill="FFFFFF"/>
        <w:rPr>
          <w:rFonts w:ascii="Arial" w:hAnsi="Arial" w:cs="Arial"/>
          <w:color w:val="000000"/>
          <w:sz w:val="22"/>
          <w:szCs w:val="22"/>
          <w:lang w:val="en"/>
        </w:rPr>
      </w:pPr>
      <w:r w:rsidRPr="00F93DEF">
        <w:rPr>
          <w:rFonts w:ascii="Arial" w:hAnsi="Arial" w:cs="Arial"/>
          <w:color w:val="000000"/>
          <w:sz w:val="22"/>
          <w:szCs w:val="22"/>
          <w:lang w:val="en"/>
        </w:rPr>
        <w:t xml:space="preserve">Notices for Shoalhaven City Council ratepayers are due to </w:t>
      </w:r>
      <w:proofErr w:type="gramStart"/>
      <w:r w:rsidRPr="00F93DEF">
        <w:rPr>
          <w:rFonts w:ascii="Arial" w:hAnsi="Arial" w:cs="Arial"/>
          <w:color w:val="000000"/>
          <w:sz w:val="22"/>
          <w:szCs w:val="22"/>
          <w:lang w:val="en"/>
        </w:rPr>
        <w:t>be</w:t>
      </w:r>
      <w:proofErr w:type="gramEnd"/>
      <w:r w:rsidRPr="00F93DEF">
        <w:rPr>
          <w:rFonts w:ascii="Arial" w:hAnsi="Arial" w:cs="Arial"/>
          <w:color w:val="000000"/>
          <w:sz w:val="22"/>
          <w:szCs w:val="22"/>
          <w:lang w:val="en"/>
        </w:rPr>
        <w:t xml:space="preserve"> issued in early February 2015.</w:t>
      </w:r>
    </w:p>
    <w:p w:rsidR="00C22E83" w:rsidRPr="00F27CC3" w:rsidRDefault="00C22E83" w:rsidP="00F27CC3">
      <w:pPr>
        <w:pStyle w:val="NormalWeb"/>
        <w:numPr>
          <w:ilvl w:val="0"/>
          <w:numId w:val="32"/>
        </w:numPr>
        <w:shd w:val="clear" w:color="auto" w:fill="FFFFFF"/>
        <w:rPr>
          <w:rFonts w:ascii="Arial" w:hAnsi="Arial" w:cs="Arial"/>
          <w:color w:val="000000"/>
          <w:sz w:val="22"/>
          <w:szCs w:val="22"/>
          <w:lang w:val="en"/>
        </w:rPr>
      </w:pPr>
      <w:r w:rsidRPr="00F93DEF">
        <w:rPr>
          <w:rFonts w:ascii="Arial" w:hAnsi="Arial" w:cs="Arial"/>
          <w:color w:val="000000"/>
          <w:sz w:val="22"/>
          <w:szCs w:val="22"/>
          <w:lang w:val="en"/>
        </w:rPr>
        <w:t>However, land value information will be available on the Land and Property Services website on 12</w:t>
      </w:r>
      <w:r w:rsidRPr="00F93DEF">
        <w:rPr>
          <w:rFonts w:ascii="Arial" w:hAnsi="Arial" w:cs="Arial"/>
          <w:color w:val="000000"/>
          <w:sz w:val="22"/>
          <w:szCs w:val="22"/>
          <w:vertAlign w:val="superscript"/>
          <w:lang w:val="en"/>
        </w:rPr>
        <w:t>th</w:t>
      </w:r>
      <w:r w:rsidRPr="00F93DEF">
        <w:rPr>
          <w:rFonts w:ascii="Arial" w:hAnsi="Arial" w:cs="Arial"/>
          <w:color w:val="000000"/>
          <w:sz w:val="22"/>
          <w:szCs w:val="22"/>
          <w:lang w:val="en"/>
        </w:rPr>
        <w:t xml:space="preserve"> January 2015 at the following address</w:t>
      </w:r>
      <w:r w:rsidRPr="00F27CC3">
        <w:rPr>
          <w:rFonts w:ascii="Arial" w:hAnsi="Arial" w:cs="Arial"/>
          <w:color w:val="000000"/>
          <w:sz w:val="22"/>
          <w:szCs w:val="22"/>
          <w:lang w:val="en"/>
        </w:rPr>
        <w:t xml:space="preserve">: </w:t>
      </w:r>
      <w:hyperlink r:id="rId11" w:history="1">
        <w:r w:rsidRPr="00F27CC3">
          <w:rPr>
            <w:rStyle w:val="Hyperlink"/>
            <w:rFonts w:ascii="Arial" w:hAnsi="Arial" w:cs="Arial"/>
            <w:sz w:val="22"/>
            <w:szCs w:val="22"/>
          </w:rPr>
          <w:t>https://shop.lpi.nsw.gov.au/wps/portal/lpma/lpi-shop/land-values</w:t>
        </w:r>
      </w:hyperlink>
    </w:p>
    <w:p w:rsidR="00C43CCD" w:rsidRPr="00F27CC3" w:rsidRDefault="00C22E83" w:rsidP="00F27CC3">
      <w:pPr>
        <w:pStyle w:val="Heading1"/>
        <w:numPr>
          <w:ilvl w:val="0"/>
          <w:numId w:val="21"/>
        </w:numPr>
        <w:rPr>
          <w:rStyle w:val="Strong"/>
          <w:rFonts w:ascii="Arial" w:hAnsi="Arial" w:cs="Arial"/>
          <w:b/>
          <w:color w:val="31849B" w:themeColor="accent5" w:themeShade="BF"/>
          <w:sz w:val="24"/>
          <w:szCs w:val="24"/>
        </w:rPr>
      </w:pPr>
      <w:r w:rsidRPr="00F93DEF">
        <w:rPr>
          <w:rStyle w:val="Strong"/>
          <w:rFonts w:ascii="Arial" w:hAnsi="Arial" w:cs="Arial"/>
        </w:rPr>
        <w:t xml:space="preserve"> </w:t>
      </w:r>
      <w:bookmarkStart w:id="13" w:name="_Toc408815859"/>
      <w:r w:rsidR="00C43CCD" w:rsidRPr="00F27CC3">
        <w:rPr>
          <w:rStyle w:val="Strong"/>
          <w:rFonts w:ascii="Arial" w:hAnsi="Arial" w:cs="Arial"/>
          <w:b/>
          <w:color w:val="31849B" w:themeColor="accent5" w:themeShade="BF"/>
          <w:sz w:val="24"/>
          <w:szCs w:val="24"/>
        </w:rPr>
        <w:t>Will the special rates change from year to year?</w:t>
      </w:r>
      <w:bookmarkEnd w:id="13"/>
    </w:p>
    <w:p w:rsidR="00ED526E" w:rsidRDefault="00C43CCD" w:rsidP="00F27CC3">
      <w:pPr>
        <w:pStyle w:val="ListParagraph"/>
        <w:numPr>
          <w:ilvl w:val="0"/>
          <w:numId w:val="33"/>
        </w:numPr>
        <w:spacing w:after="0" w:line="240" w:lineRule="auto"/>
        <w:jc w:val="both"/>
        <w:rPr>
          <w:rFonts w:cs="Arial"/>
          <w:sz w:val="22"/>
        </w:rPr>
      </w:pPr>
      <w:r w:rsidRPr="00F27CC3">
        <w:rPr>
          <w:rFonts w:cs="Arial"/>
          <w:sz w:val="22"/>
        </w:rPr>
        <w:t xml:space="preserve">Yes. </w:t>
      </w:r>
      <w:r w:rsidR="00000C1E" w:rsidRPr="00F27CC3">
        <w:rPr>
          <w:rFonts w:cs="Arial"/>
          <w:sz w:val="22"/>
        </w:rPr>
        <w:t xml:space="preserve">The above amounts are averages for 2015/2016. </w:t>
      </w:r>
    </w:p>
    <w:p w:rsidR="00F27CC3" w:rsidRPr="00ED526E" w:rsidRDefault="00000C1E" w:rsidP="00ED526E">
      <w:pPr>
        <w:spacing w:after="0" w:line="240" w:lineRule="auto"/>
        <w:ind w:left="360"/>
        <w:jc w:val="both"/>
        <w:rPr>
          <w:rFonts w:cs="Arial"/>
          <w:sz w:val="22"/>
        </w:rPr>
      </w:pPr>
      <w:r w:rsidRPr="00ED526E">
        <w:rPr>
          <w:rFonts w:cs="Arial"/>
          <w:sz w:val="22"/>
        </w:rPr>
        <w:t xml:space="preserve"> </w:t>
      </w:r>
    </w:p>
    <w:p w:rsidR="00F27CC3" w:rsidRDefault="005D0E6D" w:rsidP="00F27CC3">
      <w:pPr>
        <w:pStyle w:val="ListParagraph"/>
        <w:numPr>
          <w:ilvl w:val="0"/>
          <w:numId w:val="33"/>
        </w:numPr>
        <w:spacing w:after="0" w:line="240" w:lineRule="auto"/>
        <w:jc w:val="both"/>
        <w:rPr>
          <w:rFonts w:cs="Arial"/>
          <w:sz w:val="22"/>
        </w:rPr>
      </w:pPr>
      <w:r w:rsidRPr="00F27CC3">
        <w:rPr>
          <w:rFonts w:cs="Arial"/>
          <w:sz w:val="22"/>
        </w:rPr>
        <w:t xml:space="preserve">The average special rates will potentially increase </w:t>
      </w:r>
      <w:r w:rsidR="00C545DC" w:rsidRPr="00F27CC3">
        <w:rPr>
          <w:rFonts w:cs="Arial"/>
          <w:sz w:val="22"/>
        </w:rPr>
        <w:t>over the course of the loan</w:t>
      </w:r>
      <w:r w:rsidR="00C43CCD" w:rsidRPr="00F27CC3">
        <w:rPr>
          <w:rFonts w:cs="Arial"/>
          <w:sz w:val="22"/>
        </w:rPr>
        <w:t xml:space="preserve"> as properties get amalgamated</w:t>
      </w:r>
      <w:r w:rsidR="00C545DC" w:rsidRPr="00F27CC3">
        <w:rPr>
          <w:rFonts w:cs="Arial"/>
          <w:sz w:val="22"/>
        </w:rPr>
        <w:t xml:space="preserve">.  </w:t>
      </w:r>
    </w:p>
    <w:p w:rsidR="00ED526E" w:rsidRPr="00ED526E" w:rsidRDefault="00ED526E" w:rsidP="00ED526E">
      <w:pPr>
        <w:spacing w:after="0" w:line="240" w:lineRule="auto"/>
        <w:ind w:left="360"/>
        <w:jc w:val="both"/>
        <w:rPr>
          <w:rFonts w:cs="Arial"/>
          <w:sz w:val="22"/>
        </w:rPr>
      </w:pPr>
    </w:p>
    <w:p w:rsidR="00ED526E" w:rsidRDefault="00000C1E" w:rsidP="00F27CC3">
      <w:pPr>
        <w:pStyle w:val="ListParagraph"/>
        <w:numPr>
          <w:ilvl w:val="0"/>
          <w:numId w:val="33"/>
        </w:numPr>
        <w:spacing w:after="0" w:line="240" w:lineRule="auto"/>
        <w:jc w:val="both"/>
        <w:rPr>
          <w:rFonts w:cs="Arial"/>
          <w:sz w:val="22"/>
        </w:rPr>
      </w:pPr>
      <w:r w:rsidRPr="00F27CC3">
        <w:rPr>
          <w:rFonts w:cs="Arial"/>
          <w:sz w:val="22"/>
        </w:rPr>
        <w:t>Over time, as properties get amalgamated in the Estate, special rates will increase because the loan repayments will be shared by fewer rate payers.</w:t>
      </w:r>
    </w:p>
    <w:p w:rsidR="00F27CC3" w:rsidRPr="00ED526E" w:rsidRDefault="00000C1E" w:rsidP="00ED526E">
      <w:pPr>
        <w:spacing w:after="0" w:line="240" w:lineRule="auto"/>
        <w:ind w:left="360"/>
        <w:jc w:val="both"/>
        <w:rPr>
          <w:rFonts w:cs="Arial"/>
          <w:sz w:val="22"/>
        </w:rPr>
      </w:pPr>
      <w:r w:rsidRPr="00ED526E">
        <w:rPr>
          <w:rFonts w:cs="Arial"/>
          <w:sz w:val="22"/>
        </w:rPr>
        <w:t xml:space="preserve"> </w:t>
      </w:r>
      <w:r w:rsidR="005D0E6D" w:rsidRPr="00ED526E">
        <w:rPr>
          <w:rFonts w:cs="Arial"/>
          <w:sz w:val="22"/>
        </w:rPr>
        <w:t xml:space="preserve">  </w:t>
      </w:r>
    </w:p>
    <w:p w:rsidR="00ED526E" w:rsidRDefault="00000C1E" w:rsidP="00F27CC3">
      <w:pPr>
        <w:pStyle w:val="ListParagraph"/>
        <w:numPr>
          <w:ilvl w:val="0"/>
          <w:numId w:val="33"/>
        </w:numPr>
        <w:spacing w:after="0" w:line="240" w:lineRule="auto"/>
        <w:jc w:val="both"/>
        <w:rPr>
          <w:rFonts w:cs="Arial"/>
          <w:sz w:val="22"/>
        </w:rPr>
      </w:pPr>
      <w:r w:rsidRPr="00F27CC3">
        <w:rPr>
          <w:rFonts w:cs="Arial"/>
          <w:sz w:val="22"/>
        </w:rPr>
        <w:t xml:space="preserve">The Estate’s planning controls allow up to 87 dwellings to be approved in the Estate. </w:t>
      </w:r>
    </w:p>
    <w:p w:rsidR="00F27CC3" w:rsidRPr="00F27CC3" w:rsidRDefault="00000C1E" w:rsidP="00ED526E">
      <w:pPr>
        <w:pStyle w:val="ListParagraph"/>
        <w:spacing w:after="0" w:line="240" w:lineRule="auto"/>
        <w:ind w:left="1080"/>
        <w:jc w:val="both"/>
        <w:rPr>
          <w:rFonts w:cs="Arial"/>
          <w:sz w:val="22"/>
        </w:rPr>
      </w:pPr>
      <w:r w:rsidRPr="00F27CC3">
        <w:rPr>
          <w:rFonts w:cs="Arial"/>
          <w:sz w:val="22"/>
        </w:rPr>
        <w:t xml:space="preserve"> </w:t>
      </w:r>
    </w:p>
    <w:p w:rsidR="00C545DC" w:rsidRPr="00F27CC3" w:rsidRDefault="00000C1E" w:rsidP="00F27CC3">
      <w:pPr>
        <w:pStyle w:val="ListParagraph"/>
        <w:numPr>
          <w:ilvl w:val="0"/>
          <w:numId w:val="33"/>
        </w:numPr>
        <w:spacing w:after="0" w:line="240" w:lineRule="auto"/>
        <w:jc w:val="both"/>
        <w:rPr>
          <w:rFonts w:cs="Arial"/>
          <w:sz w:val="22"/>
        </w:rPr>
      </w:pPr>
      <w:r w:rsidRPr="00F27CC3">
        <w:rPr>
          <w:rFonts w:cs="Arial"/>
          <w:sz w:val="22"/>
        </w:rPr>
        <w:t>Currently there are 138 rate assessments, 18 of which have no prospect of forming part of a developable lot.</w:t>
      </w:r>
    </w:p>
    <w:p w:rsidR="00000C1E" w:rsidRPr="00F93DEF" w:rsidRDefault="00000C1E" w:rsidP="00000C1E">
      <w:pPr>
        <w:spacing w:after="0" w:line="240" w:lineRule="auto"/>
        <w:ind w:left="567"/>
        <w:jc w:val="both"/>
        <w:rPr>
          <w:rFonts w:cs="Arial"/>
          <w:sz w:val="22"/>
        </w:rPr>
      </w:pPr>
    </w:p>
    <w:p w:rsidR="00C545DC" w:rsidRPr="00F93DEF" w:rsidRDefault="00000C1E" w:rsidP="005D0E6D">
      <w:pPr>
        <w:spacing w:after="0" w:line="240" w:lineRule="auto"/>
        <w:ind w:left="567"/>
        <w:jc w:val="both"/>
        <w:rPr>
          <w:rFonts w:cs="Arial"/>
          <w:sz w:val="22"/>
        </w:rPr>
      </w:pPr>
      <w:r w:rsidRPr="00F93DEF">
        <w:rPr>
          <w:rFonts w:cs="Arial"/>
          <w:sz w:val="22"/>
        </w:rPr>
        <w:t xml:space="preserve">The rate at which properties are amalgamated is unknown. If all of the amalgamations occur within the life of the loan, the average annual special rates will potentially increase by up to 35% from amounts shown above.  </w:t>
      </w:r>
    </w:p>
    <w:p w:rsidR="00425115" w:rsidRPr="00F27CC3" w:rsidRDefault="00425115" w:rsidP="00F27CC3">
      <w:pPr>
        <w:pStyle w:val="Heading1"/>
        <w:numPr>
          <w:ilvl w:val="0"/>
          <w:numId w:val="21"/>
        </w:numPr>
        <w:rPr>
          <w:rStyle w:val="Strong"/>
          <w:rFonts w:ascii="Arial" w:hAnsi="Arial" w:cs="Arial"/>
          <w:b/>
          <w:color w:val="31849B" w:themeColor="accent5" w:themeShade="BF"/>
          <w:sz w:val="24"/>
          <w:szCs w:val="24"/>
        </w:rPr>
      </w:pPr>
      <w:bookmarkStart w:id="14" w:name="_Toc408815860"/>
      <w:r w:rsidRPr="00F27CC3">
        <w:rPr>
          <w:rStyle w:val="Strong"/>
          <w:rFonts w:ascii="Arial" w:hAnsi="Arial" w:cs="Arial"/>
          <w:b/>
          <w:color w:val="31849B" w:themeColor="accent5" w:themeShade="BF"/>
          <w:sz w:val="24"/>
          <w:szCs w:val="24"/>
        </w:rPr>
        <w:t>Can I f</w:t>
      </w:r>
      <w:r w:rsidR="00B50471" w:rsidRPr="00F27CC3">
        <w:rPr>
          <w:rStyle w:val="Strong"/>
          <w:rFonts w:ascii="Arial" w:hAnsi="Arial" w:cs="Arial"/>
          <w:b/>
          <w:color w:val="31849B" w:themeColor="accent5" w:themeShade="BF"/>
          <w:sz w:val="24"/>
          <w:szCs w:val="24"/>
        </w:rPr>
        <w:t>in</w:t>
      </w:r>
      <w:r w:rsidRPr="00F27CC3">
        <w:rPr>
          <w:rStyle w:val="Strong"/>
          <w:rFonts w:ascii="Arial" w:hAnsi="Arial" w:cs="Arial"/>
          <w:b/>
          <w:color w:val="31849B" w:themeColor="accent5" w:themeShade="BF"/>
          <w:sz w:val="24"/>
          <w:szCs w:val="24"/>
        </w:rPr>
        <w:t xml:space="preserve">d out exactly how </w:t>
      </w:r>
      <w:proofErr w:type="gramStart"/>
      <w:r w:rsidRPr="00F27CC3">
        <w:rPr>
          <w:rStyle w:val="Strong"/>
          <w:rFonts w:ascii="Arial" w:hAnsi="Arial" w:cs="Arial"/>
          <w:b/>
          <w:color w:val="31849B" w:themeColor="accent5" w:themeShade="BF"/>
          <w:sz w:val="24"/>
          <w:szCs w:val="24"/>
        </w:rPr>
        <w:t>much</w:t>
      </w:r>
      <w:proofErr w:type="gramEnd"/>
      <w:r w:rsidRPr="00F27CC3">
        <w:rPr>
          <w:rStyle w:val="Strong"/>
          <w:rFonts w:ascii="Arial" w:hAnsi="Arial" w:cs="Arial"/>
          <w:b/>
          <w:color w:val="31849B" w:themeColor="accent5" w:themeShade="BF"/>
          <w:sz w:val="24"/>
          <w:szCs w:val="24"/>
        </w:rPr>
        <w:t xml:space="preserve"> my rates will be?</w:t>
      </w:r>
      <w:bookmarkEnd w:id="14"/>
    </w:p>
    <w:p w:rsidR="00F27CC3" w:rsidRDefault="0089457A" w:rsidP="00F27CC3">
      <w:pPr>
        <w:pStyle w:val="ListParagraph"/>
        <w:numPr>
          <w:ilvl w:val="0"/>
          <w:numId w:val="34"/>
        </w:numPr>
        <w:spacing w:after="0" w:line="240" w:lineRule="auto"/>
        <w:jc w:val="both"/>
        <w:rPr>
          <w:rFonts w:cs="Arial"/>
          <w:sz w:val="22"/>
        </w:rPr>
      </w:pPr>
      <w:r w:rsidRPr="00F27CC3">
        <w:rPr>
          <w:rFonts w:cs="Arial"/>
          <w:sz w:val="22"/>
        </w:rPr>
        <w:t>At this stage Council can only give an estimate of what your rates might be</w:t>
      </w:r>
      <w:r w:rsidR="00F27CC3">
        <w:rPr>
          <w:rFonts w:cs="Arial"/>
          <w:sz w:val="22"/>
        </w:rPr>
        <w:t>.</w:t>
      </w:r>
    </w:p>
    <w:p w:rsidR="00ED526E" w:rsidRDefault="00ED526E" w:rsidP="00ED526E">
      <w:pPr>
        <w:pStyle w:val="ListParagraph"/>
        <w:spacing w:after="0" w:line="240" w:lineRule="auto"/>
        <w:ind w:left="1080"/>
        <w:jc w:val="both"/>
        <w:rPr>
          <w:rFonts w:cs="Arial"/>
          <w:sz w:val="22"/>
        </w:rPr>
      </w:pPr>
    </w:p>
    <w:p w:rsidR="00082CBA" w:rsidRPr="00F27CC3" w:rsidRDefault="00F27CC3" w:rsidP="00F27CC3">
      <w:pPr>
        <w:pStyle w:val="ListParagraph"/>
        <w:numPr>
          <w:ilvl w:val="0"/>
          <w:numId w:val="34"/>
        </w:numPr>
        <w:spacing w:after="0" w:line="240" w:lineRule="auto"/>
        <w:jc w:val="both"/>
        <w:rPr>
          <w:rFonts w:cs="Arial"/>
          <w:sz w:val="22"/>
        </w:rPr>
      </w:pPr>
      <w:r>
        <w:rPr>
          <w:rFonts w:cs="Arial"/>
          <w:sz w:val="22"/>
        </w:rPr>
        <w:t>C</w:t>
      </w:r>
      <w:r w:rsidR="00082CBA" w:rsidRPr="00F27CC3">
        <w:rPr>
          <w:rFonts w:cs="Arial"/>
          <w:sz w:val="22"/>
        </w:rPr>
        <w:t xml:space="preserve">ontact </w:t>
      </w:r>
      <w:r w:rsidR="00EB577B" w:rsidRPr="00F27CC3">
        <w:rPr>
          <w:rFonts w:cs="Arial"/>
          <w:sz w:val="22"/>
        </w:rPr>
        <w:t xml:space="preserve">the Rates Department on </w:t>
      </w:r>
      <w:r>
        <w:rPr>
          <w:rFonts w:cs="Arial"/>
          <w:sz w:val="22"/>
        </w:rPr>
        <w:t>(</w:t>
      </w:r>
      <w:r w:rsidR="00EB577B" w:rsidRPr="00F27CC3">
        <w:rPr>
          <w:rFonts w:cs="Arial"/>
          <w:sz w:val="22"/>
        </w:rPr>
        <w:t>02</w:t>
      </w:r>
      <w:r>
        <w:rPr>
          <w:rFonts w:cs="Arial"/>
          <w:sz w:val="22"/>
        </w:rPr>
        <w:t>)</w:t>
      </w:r>
      <w:r w:rsidR="00EB577B" w:rsidRPr="00F27CC3">
        <w:rPr>
          <w:rFonts w:cs="Arial"/>
          <w:sz w:val="22"/>
        </w:rPr>
        <w:t>4429</w:t>
      </w:r>
      <w:r>
        <w:rPr>
          <w:rFonts w:cs="Arial"/>
          <w:sz w:val="22"/>
        </w:rPr>
        <w:t xml:space="preserve"> </w:t>
      </w:r>
      <w:r w:rsidR="00B50471" w:rsidRPr="00F27CC3">
        <w:rPr>
          <w:rFonts w:cs="Arial"/>
          <w:sz w:val="22"/>
        </w:rPr>
        <w:t>3368</w:t>
      </w:r>
      <w:r w:rsidR="0089457A" w:rsidRPr="00F27CC3">
        <w:rPr>
          <w:rFonts w:cs="Arial"/>
          <w:sz w:val="22"/>
        </w:rPr>
        <w:t>, if you require further information.</w:t>
      </w:r>
    </w:p>
    <w:p w:rsidR="007A5714" w:rsidRPr="00F27CC3" w:rsidRDefault="007A5714" w:rsidP="00F27CC3">
      <w:pPr>
        <w:pStyle w:val="Heading1"/>
        <w:numPr>
          <w:ilvl w:val="0"/>
          <w:numId w:val="21"/>
        </w:numPr>
        <w:rPr>
          <w:rStyle w:val="Strong"/>
          <w:rFonts w:ascii="Arial" w:hAnsi="Arial" w:cs="Arial"/>
          <w:b/>
          <w:color w:val="31849B" w:themeColor="accent5" w:themeShade="BF"/>
          <w:sz w:val="24"/>
          <w:szCs w:val="24"/>
        </w:rPr>
      </w:pPr>
      <w:bookmarkStart w:id="15" w:name="_Toc408815861"/>
      <w:r w:rsidRPr="00F27CC3">
        <w:rPr>
          <w:rStyle w:val="Strong"/>
          <w:rFonts w:ascii="Arial" w:hAnsi="Arial" w:cs="Arial"/>
          <w:b/>
          <w:color w:val="31849B" w:themeColor="accent5" w:themeShade="BF"/>
          <w:sz w:val="24"/>
          <w:szCs w:val="24"/>
        </w:rPr>
        <w:t>What happens if IPART doesn’t approve the Special Rate Variation application?</w:t>
      </w:r>
      <w:bookmarkEnd w:id="15"/>
    </w:p>
    <w:p w:rsidR="00F27CC3" w:rsidRDefault="00373B90" w:rsidP="00F27CC3">
      <w:pPr>
        <w:pStyle w:val="ListParagraph"/>
        <w:numPr>
          <w:ilvl w:val="0"/>
          <w:numId w:val="37"/>
        </w:numPr>
        <w:rPr>
          <w:sz w:val="22"/>
        </w:rPr>
      </w:pPr>
      <w:r w:rsidRPr="00F27CC3">
        <w:rPr>
          <w:sz w:val="22"/>
        </w:rPr>
        <w:t>Council will not be able to coordinate the provision of essential infrastructure</w:t>
      </w:r>
      <w:r w:rsidR="00274367" w:rsidRPr="00F27CC3">
        <w:rPr>
          <w:sz w:val="22"/>
        </w:rPr>
        <w:t>,</w:t>
      </w:r>
      <w:r w:rsidRPr="00F27CC3">
        <w:rPr>
          <w:sz w:val="22"/>
        </w:rPr>
        <w:t xml:space="preserve"> </w:t>
      </w:r>
      <w:r w:rsidR="00274367" w:rsidRPr="00F27CC3">
        <w:rPr>
          <w:sz w:val="22"/>
        </w:rPr>
        <w:t>which in turn will impact on the ability of properties within the Estate</w:t>
      </w:r>
      <w:r w:rsidRPr="00F27CC3">
        <w:rPr>
          <w:sz w:val="22"/>
        </w:rPr>
        <w:t xml:space="preserve"> to be developed.</w:t>
      </w:r>
      <w:r w:rsidR="00082CBA" w:rsidRPr="00F27CC3">
        <w:rPr>
          <w:sz w:val="22"/>
        </w:rPr>
        <w:t xml:space="preserve"> </w:t>
      </w:r>
    </w:p>
    <w:p w:rsidR="00ED526E" w:rsidRPr="00F27CC3" w:rsidRDefault="00ED526E" w:rsidP="00ED526E">
      <w:pPr>
        <w:pStyle w:val="ListParagraph"/>
        <w:ind w:left="1080"/>
        <w:rPr>
          <w:sz w:val="22"/>
        </w:rPr>
      </w:pPr>
    </w:p>
    <w:p w:rsidR="009D2666" w:rsidRPr="00F27CC3" w:rsidRDefault="00082CBA" w:rsidP="00F27CC3">
      <w:pPr>
        <w:pStyle w:val="ListParagraph"/>
        <w:numPr>
          <w:ilvl w:val="0"/>
          <w:numId w:val="37"/>
        </w:numPr>
        <w:rPr>
          <w:sz w:val="22"/>
        </w:rPr>
      </w:pPr>
      <w:r w:rsidRPr="00F27CC3">
        <w:rPr>
          <w:sz w:val="22"/>
        </w:rPr>
        <w:t>If the application is not approved, the Estate will continue to be in a state of limbo until such time that a funding arrangement is put in place.</w:t>
      </w:r>
    </w:p>
    <w:p w:rsidR="009D2666" w:rsidRPr="00F27CC3" w:rsidRDefault="009D2666" w:rsidP="00F27CC3">
      <w:pPr>
        <w:pStyle w:val="Heading1"/>
        <w:numPr>
          <w:ilvl w:val="0"/>
          <w:numId w:val="21"/>
        </w:numPr>
        <w:rPr>
          <w:rStyle w:val="Strong"/>
          <w:rFonts w:ascii="Arial" w:hAnsi="Arial" w:cs="Arial"/>
          <w:b/>
          <w:color w:val="31849B" w:themeColor="accent5" w:themeShade="BF"/>
          <w:sz w:val="24"/>
          <w:szCs w:val="24"/>
        </w:rPr>
      </w:pPr>
      <w:bookmarkStart w:id="16" w:name="_Toc408815862"/>
      <w:r w:rsidRPr="00F27CC3">
        <w:rPr>
          <w:rStyle w:val="Strong"/>
          <w:rFonts w:ascii="Arial" w:hAnsi="Arial" w:cs="Arial"/>
          <w:b/>
          <w:color w:val="31849B" w:themeColor="accent5" w:themeShade="BF"/>
          <w:sz w:val="24"/>
          <w:szCs w:val="24"/>
        </w:rPr>
        <w:t>What will happen to the existing special rates?</w:t>
      </w:r>
      <w:bookmarkEnd w:id="16"/>
    </w:p>
    <w:p w:rsidR="009D2666" w:rsidRPr="00F27CC3" w:rsidRDefault="009D2666" w:rsidP="00F27CC3">
      <w:pPr>
        <w:pStyle w:val="ListParagraph"/>
        <w:numPr>
          <w:ilvl w:val="0"/>
          <w:numId w:val="36"/>
        </w:numPr>
        <w:spacing w:after="0" w:line="240" w:lineRule="auto"/>
        <w:jc w:val="both"/>
        <w:rPr>
          <w:rFonts w:cs="Arial"/>
          <w:sz w:val="22"/>
        </w:rPr>
      </w:pPr>
      <w:r w:rsidRPr="00F27CC3">
        <w:rPr>
          <w:rFonts w:cs="Arial"/>
          <w:sz w:val="22"/>
        </w:rPr>
        <w:t xml:space="preserve">Most of the properties in </w:t>
      </w:r>
      <w:proofErr w:type="spellStart"/>
      <w:r w:rsidRPr="00F27CC3">
        <w:rPr>
          <w:rFonts w:cs="Arial"/>
          <w:sz w:val="22"/>
        </w:rPr>
        <w:t>Jerberra</w:t>
      </w:r>
      <w:proofErr w:type="spellEnd"/>
      <w:r w:rsidRPr="00F27CC3">
        <w:rPr>
          <w:rFonts w:cs="Arial"/>
          <w:sz w:val="22"/>
        </w:rPr>
        <w:t xml:space="preserve"> Estate are currently paying three different special rates:</w:t>
      </w:r>
    </w:p>
    <w:p w:rsidR="00F27CC3" w:rsidRPr="00F93DEF" w:rsidRDefault="00F27CC3" w:rsidP="003D4245">
      <w:pPr>
        <w:spacing w:after="0" w:line="240" w:lineRule="auto"/>
        <w:ind w:left="567"/>
        <w:jc w:val="both"/>
        <w:rPr>
          <w:rFonts w:cs="Arial"/>
          <w:sz w:val="22"/>
        </w:rPr>
      </w:pPr>
    </w:p>
    <w:p w:rsidR="009D2666" w:rsidRPr="00F93DEF" w:rsidRDefault="009D2666" w:rsidP="003D4245">
      <w:pPr>
        <w:pStyle w:val="ListParagraph"/>
        <w:numPr>
          <w:ilvl w:val="0"/>
          <w:numId w:val="13"/>
        </w:numPr>
        <w:ind w:left="1276"/>
        <w:rPr>
          <w:rFonts w:cs="Arial"/>
          <w:sz w:val="22"/>
        </w:rPr>
      </w:pPr>
      <w:r w:rsidRPr="00F93DEF">
        <w:rPr>
          <w:rFonts w:cs="Arial"/>
          <w:sz w:val="22"/>
        </w:rPr>
        <w:t>Rezoning special rate</w:t>
      </w:r>
      <w:r w:rsidR="009C0208" w:rsidRPr="00F93DEF">
        <w:rPr>
          <w:rFonts w:cs="Arial"/>
          <w:sz w:val="22"/>
        </w:rPr>
        <w:t xml:space="preserve"> – </w:t>
      </w:r>
      <w:r w:rsidR="00A60EB8" w:rsidRPr="00F93DEF">
        <w:rPr>
          <w:rFonts w:cs="Arial"/>
          <w:sz w:val="22"/>
        </w:rPr>
        <w:t xml:space="preserve">this </w:t>
      </w:r>
      <w:r w:rsidR="009C0208" w:rsidRPr="00F93DEF">
        <w:rPr>
          <w:rFonts w:cs="Arial"/>
          <w:sz w:val="22"/>
        </w:rPr>
        <w:t>will cease on 30 June 2016.</w:t>
      </w:r>
    </w:p>
    <w:p w:rsidR="009D2666" w:rsidRPr="00F93DEF" w:rsidRDefault="009D2666" w:rsidP="003D4245">
      <w:pPr>
        <w:pStyle w:val="ListParagraph"/>
        <w:numPr>
          <w:ilvl w:val="0"/>
          <w:numId w:val="13"/>
        </w:numPr>
        <w:ind w:left="1276"/>
        <w:rPr>
          <w:rFonts w:cs="Arial"/>
          <w:sz w:val="22"/>
        </w:rPr>
      </w:pPr>
      <w:r w:rsidRPr="00F93DEF">
        <w:rPr>
          <w:rFonts w:cs="Arial"/>
          <w:sz w:val="22"/>
        </w:rPr>
        <w:t>Road design special rate</w:t>
      </w:r>
      <w:r w:rsidR="009C0208" w:rsidRPr="00F93DEF">
        <w:rPr>
          <w:rFonts w:cs="Arial"/>
          <w:sz w:val="22"/>
        </w:rPr>
        <w:t xml:space="preserve"> – </w:t>
      </w:r>
      <w:r w:rsidR="00A60EB8" w:rsidRPr="00F93DEF">
        <w:rPr>
          <w:rFonts w:cs="Arial"/>
          <w:sz w:val="22"/>
        </w:rPr>
        <w:t xml:space="preserve">this </w:t>
      </w:r>
      <w:r w:rsidR="009C0208" w:rsidRPr="00F93DEF">
        <w:rPr>
          <w:rFonts w:cs="Arial"/>
          <w:sz w:val="22"/>
        </w:rPr>
        <w:t>will cease on 30 June 2016.</w:t>
      </w:r>
    </w:p>
    <w:p w:rsidR="009D2666" w:rsidRPr="00F93DEF" w:rsidRDefault="009D2666" w:rsidP="003D4245">
      <w:pPr>
        <w:pStyle w:val="ListParagraph"/>
        <w:numPr>
          <w:ilvl w:val="0"/>
          <w:numId w:val="13"/>
        </w:numPr>
        <w:ind w:left="1276"/>
        <w:rPr>
          <w:rFonts w:cs="Arial"/>
          <w:sz w:val="22"/>
        </w:rPr>
      </w:pPr>
      <w:r w:rsidRPr="00F93DEF">
        <w:rPr>
          <w:rFonts w:cs="Arial"/>
          <w:sz w:val="22"/>
        </w:rPr>
        <w:t>Road construction special rate</w:t>
      </w:r>
      <w:r w:rsidR="009C0208" w:rsidRPr="00F93DEF">
        <w:rPr>
          <w:rFonts w:cs="Arial"/>
          <w:sz w:val="22"/>
        </w:rPr>
        <w:t xml:space="preserve"> – </w:t>
      </w:r>
      <w:r w:rsidR="00A60EB8" w:rsidRPr="00F93DEF">
        <w:rPr>
          <w:rFonts w:cs="Arial"/>
          <w:sz w:val="22"/>
        </w:rPr>
        <w:t xml:space="preserve">this </w:t>
      </w:r>
      <w:r w:rsidR="009C0208" w:rsidRPr="00F93DEF">
        <w:rPr>
          <w:rFonts w:cs="Arial"/>
          <w:sz w:val="22"/>
        </w:rPr>
        <w:t>will be replaced by the new infrastructure special rate subject to its approval by IPART.</w:t>
      </w:r>
    </w:p>
    <w:p w:rsidR="009D2666" w:rsidRPr="00F27CC3" w:rsidRDefault="009D2666" w:rsidP="00F27CC3">
      <w:pPr>
        <w:pStyle w:val="Heading1"/>
        <w:numPr>
          <w:ilvl w:val="0"/>
          <w:numId w:val="21"/>
        </w:numPr>
        <w:rPr>
          <w:rStyle w:val="Strong"/>
          <w:rFonts w:ascii="Arial" w:hAnsi="Arial" w:cs="Arial"/>
          <w:b/>
          <w:color w:val="31849B" w:themeColor="accent5" w:themeShade="BF"/>
          <w:sz w:val="24"/>
          <w:szCs w:val="24"/>
        </w:rPr>
      </w:pPr>
      <w:bookmarkStart w:id="17" w:name="_Toc408815863"/>
      <w:r w:rsidRPr="00F27CC3">
        <w:rPr>
          <w:rStyle w:val="Strong"/>
          <w:rFonts w:ascii="Arial" w:hAnsi="Arial" w:cs="Arial"/>
          <w:b/>
          <w:color w:val="31849B" w:themeColor="accent5" w:themeShade="BF"/>
          <w:sz w:val="24"/>
          <w:szCs w:val="24"/>
        </w:rPr>
        <w:lastRenderedPageBreak/>
        <w:t>If I sell my land will I continue to be required to pay the special rate in the future?</w:t>
      </w:r>
      <w:bookmarkEnd w:id="17"/>
    </w:p>
    <w:p w:rsidR="00F27CC3" w:rsidRDefault="00247EEE" w:rsidP="00F27CC3">
      <w:pPr>
        <w:pStyle w:val="ListParagraph"/>
        <w:numPr>
          <w:ilvl w:val="0"/>
          <w:numId w:val="36"/>
        </w:numPr>
        <w:spacing w:after="0" w:line="240" w:lineRule="auto"/>
        <w:jc w:val="both"/>
        <w:rPr>
          <w:rFonts w:cs="Arial"/>
          <w:sz w:val="22"/>
        </w:rPr>
      </w:pPr>
      <w:r w:rsidRPr="00F27CC3">
        <w:rPr>
          <w:rFonts w:cs="Arial"/>
          <w:sz w:val="22"/>
        </w:rPr>
        <w:t>No, the rates would be pa</w:t>
      </w:r>
      <w:r w:rsidR="006E7B0D" w:rsidRPr="00F27CC3">
        <w:rPr>
          <w:rFonts w:cs="Arial"/>
          <w:sz w:val="22"/>
        </w:rPr>
        <w:t>yable</w:t>
      </w:r>
      <w:r w:rsidRPr="00F27CC3">
        <w:rPr>
          <w:rFonts w:cs="Arial"/>
          <w:sz w:val="22"/>
        </w:rPr>
        <w:t xml:space="preserve"> by the new owner of the land. </w:t>
      </w:r>
    </w:p>
    <w:p w:rsidR="00ED526E" w:rsidRPr="00F27CC3" w:rsidRDefault="00ED526E" w:rsidP="00ED526E">
      <w:pPr>
        <w:pStyle w:val="ListParagraph"/>
        <w:spacing w:after="0" w:line="240" w:lineRule="auto"/>
        <w:ind w:left="1080"/>
        <w:jc w:val="both"/>
        <w:rPr>
          <w:rFonts w:cs="Arial"/>
          <w:sz w:val="22"/>
        </w:rPr>
      </w:pPr>
    </w:p>
    <w:p w:rsidR="009D2666" w:rsidRPr="00F27CC3" w:rsidRDefault="00186313" w:rsidP="00F27CC3">
      <w:pPr>
        <w:pStyle w:val="ListParagraph"/>
        <w:numPr>
          <w:ilvl w:val="0"/>
          <w:numId w:val="36"/>
        </w:numPr>
        <w:spacing w:after="0" w:line="240" w:lineRule="auto"/>
        <w:jc w:val="both"/>
        <w:rPr>
          <w:rFonts w:cs="Arial"/>
          <w:sz w:val="22"/>
        </w:rPr>
      </w:pPr>
      <w:r w:rsidRPr="00F27CC3">
        <w:rPr>
          <w:rFonts w:cs="Arial"/>
          <w:sz w:val="22"/>
        </w:rPr>
        <w:t>Outstanding rates and charges are</w:t>
      </w:r>
      <w:r w:rsidR="00247EEE" w:rsidRPr="00F27CC3">
        <w:rPr>
          <w:rFonts w:cs="Arial"/>
          <w:sz w:val="22"/>
        </w:rPr>
        <w:t xml:space="preserve"> normally negotiated between the vendor and </w:t>
      </w:r>
      <w:r w:rsidR="006E7B0D" w:rsidRPr="00F27CC3">
        <w:rPr>
          <w:rFonts w:cs="Arial"/>
          <w:sz w:val="22"/>
        </w:rPr>
        <w:t xml:space="preserve">the </w:t>
      </w:r>
      <w:r w:rsidR="00247EEE" w:rsidRPr="00F27CC3">
        <w:rPr>
          <w:rFonts w:cs="Arial"/>
          <w:sz w:val="22"/>
        </w:rPr>
        <w:t xml:space="preserve">purchaser </w:t>
      </w:r>
      <w:r w:rsidR="006E7B0D" w:rsidRPr="00F27CC3">
        <w:rPr>
          <w:rFonts w:cs="Arial"/>
          <w:sz w:val="22"/>
        </w:rPr>
        <w:t>before agreeing on the sale/purchase price</w:t>
      </w:r>
      <w:r w:rsidR="00247EEE" w:rsidRPr="00F27CC3">
        <w:rPr>
          <w:rFonts w:cs="Arial"/>
          <w:sz w:val="22"/>
        </w:rPr>
        <w:t>.</w:t>
      </w:r>
    </w:p>
    <w:p w:rsidR="000048FE" w:rsidRPr="00F27CC3" w:rsidRDefault="00AF58C1" w:rsidP="00F27CC3">
      <w:pPr>
        <w:pStyle w:val="Heading1"/>
        <w:numPr>
          <w:ilvl w:val="0"/>
          <w:numId w:val="21"/>
        </w:numPr>
        <w:rPr>
          <w:rStyle w:val="Strong"/>
          <w:rFonts w:ascii="Arial" w:hAnsi="Arial" w:cs="Arial"/>
          <w:b/>
          <w:color w:val="31849B" w:themeColor="accent5" w:themeShade="BF"/>
          <w:sz w:val="24"/>
          <w:szCs w:val="24"/>
        </w:rPr>
      </w:pPr>
      <w:bookmarkStart w:id="18" w:name="_Toc408815864"/>
      <w:r w:rsidRPr="00F27CC3">
        <w:rPr>
          <w:rStyle w:val="Strong"/>
          <w:rFonts w:ascii="Arial" w:hAnsi="Arial" w:cs="Arial"/>
          <w:b/>
          <w:color w:val="31849B" w:themeColor="accent5" w:themeShade="BF"/>
          <w:sz w:val="24"/>
          <w:szCs w:val="24"/>
        </w:rPr>
        <w:t xml:space="preserve">What </w:t>
      </w:r>
      <w:r w:rsidR="00AD6103" w:rsidRPr="00F27CC3">
        <w:rPr>
          <w:rStyle w:val="Strong"/>
          <w:rFonts w:ascii="Arial" w:hAnsi="Arial" w:cs="Arial"/>
          <w:b/>
          <w:color w:val="31849B" w:themeColor="accent5" w:themeShade="BF"/>
          <w:sz w:val="24"/>
          <w:szCs w:val="24"/>
        </w:rPr>
        <w:t xml:space="preserve">will happen </w:t>
      </w:r>
      <w:r w:rsidRPr="00F27CC3">
        <w:rPr>
          <w:rStyle w:val="Strong"/>
          <w:rFonts w:ascii="Arial" w:hAnsi="Arial" w:cs="Arial"/>
          <w:b/>
          <w:color w:val="31849B" w:themeColor="accent5" w:themeShade="BF"/>
          <w:sz w:val="24"/>
          <w:szCs w:val="24"/>
        </w:rPr>
        <w:t xml:space="preserve">if I cannot </w:t>
      </w:r>
      <w:r w:rsidR="00AD6103" w:rsidRPr="00F27CC3">
        <w:rPr>
          <w:rStyle w:val="Strong"/>
          <w:rFonts w:ascii="Arial" w:hAnsi="Arial" w:cs="Arial"/>
          <w:b/>
          <w:color w:val="31849B" w:themeColor="accent5" w:themeShade="BF"/>
          <w:sz w:val="24"/>
          <w:szCs w:val="24"/>
        </w:rPr>
        <w:t>pay my</w:t>
      </w:r>
      <w:r w:rsidRPr="00F27CC3">
        <w:rPr>
          <w:rStyle w:val="Strong"/>
          <w:rFonts w:ascii="Arial" w:hAnsi="Arial" w:cs="Arial"/>
          <w:b/>
          <w:color w:val="31849B" w:themeColor="accent5" w:themeShade="BF"/>
          <w:sz w:val="24"/>
          <w:szCs w:val="24"/>
        </w:rPr>
        <w:t xml:space="preserve"> rate</w:t>
      </w:r>
      <w:r w:rsidR="00AD6103" w:rsidRPr="00F27CC3">
        <w:rPr>
          <w:rStyle w:val="Strong"/>
          <w:rFonts w:ascii="Arial" w:hAnsi="Arial" w:cs="Arial"/>
          <w:b/>
          <w:color w:val="31849B" w:themeColor="accent5" w:themeShade="BF"/>
          <w:sz w:val="24"/>
          <w:szCs w:val="24"/>
        </w:rPr>
        <w:t>s</w:t>
      </w:r>
      <w:r w:rsidRPr="00F27CC3">
        <w:rPr>
          <w:rStyle w:val="Strong"/>
          <w:rFonts w:ascii="Arial" w:hAnsi="Arial" w:cs="Arial"/>
          <w:b/>
          <w:color w:val="31849B" w:themeColor="accent5" w:themeShade="BF"/>
          <w:sz w:val="24"/>
          <w:szCs w:val="24"/>
        </w:rPr>
        <w:t>?</w:t>
      </w:r>
      <w:bookmarkEnd w:id="18"/>
      <w:r w:rsidR="009D2666" w:rsidRPr="00F27CC3">
        <w:rPr>
          <w:rStyle w:val="Strong"/>
          <w:rFonts w:ascii="Arial" w:hAnsi="Arial" w:cs="Arial"/>
          <w:b/>
          <w:color w:val="31849B" w:themeColor="accent5" w:themeShade="BF"/>
          <w:sz w:val="24"/>
          <w:szCs w:val="24"/>
        </w:rPr>
        <w:t xml:space="preserve"> </w:t>
      </w:r>
    </w:p>
    <w:p w:rsidR="00ED526E" w:rsidRDefault="00AD6103" w:rsidP="002B0586">
      <w:pPr>
        <w:pStyle w:val="ListParagraph"/>
        <w:numPr>
          <w:ilvl w:val="0"/>
          <w:numId w:val="38"/>
        </w:numPr>
        <w:spacing w:after="0"/>
        <w:jc w:val="both"/>
        <w:rPr>
          <w:rFonts w:cs="Arial"/>
          <w:sz w:val="22"/>
        </w:rPr>
      </w:pPr>
      <w:r w:rsidRPr="002B0586">
        <w:rPr>
          <w:rFonts w:cs="Arial"/>
          <w:sz w:val="22"/>
        </w:rPr>
        <w:t xml:space="preserve">If property owners cannot afford to pay the rates they have the option of selling the land. </w:t>
      </w:r>
    </w:p>
    <w:p w:rsidR="002B0586" w:rsidRPr="002B0586" w:rsidRDefault="00AD6103" w:rsidP="00ED526E">
      <w:pPr>
        <w:pStyle w:val="ListParagraph"/>
        <w:spacing w:after="0"/>
        <w:ind w:left="1080"/>
        <w:jc w:val="both"/>
        <w:rPr>
          <w:rFonts w:cs="Arial"/>
          <w:sz w:val="22"/>
        </w:rPr>
      </w:pPr>
      <w:r w:rsidRPr="002B0586">
        <w:rPr>
          <w:rFonts w:cs="Arial"/>
          <w:sz w:val="22"/>
        </w:rPr>
        <w:t xml:space="preserve"> </w:t>
      </w:r>
    </w:p>
    <w:p w:rsidR="00ED526E" w:rsidRDefault="00357A4E" w:rsidP="002B0586">
      <w:pPr>
        <w:pStyle w:val="ListParagraph"/>
        <w:numPr>
          <w:ilvl w:val="0"/>
          <w:numId w:val="38"/>
        </w:numPr>
        <w:spacing w:after="0"/>
        <w:jc w:val="both"/>
        <w:rPr>
          <w:rFonts w:cs="Arial"/>
          <w:sz w:val="22"/>
        </w:rPr>
      </w:pPr>
      <w:r w:rsidRPr="002B0586">
        <w:rPr>
          <w:rFonts w:cs="Arial"/>
          <w:sz w:val="22"/>
        </w:rPr>
        <w:t>Unpaid rates will accrue as a debt on the land and Council may take action to recover the debt</w:t>
      </w:r>
      <w:r w:rsidR="00AD6103" w:rsidRPr="002B0586">
        <w:rPr>
          <w:rFonts w:cs="Arial"/>
          <w:sz w:val="22"/>
        </w:rPr>
        <w:t>.</w:t>
      </w:r>
    </w:p>
    <w:p w:rsidR="002B0586" w:rsidRPr="002B0586" w:rsidRDefault="00AD6103" w:rsidP="00ED526E">
      <w:pPr>
        <w:pStyle w:val="ListParagraph"/>
        <w:spacing w:after="0"/>
        <w:ind w:left="1080"/>
        <w:jc w:val="both"/>
        <w:rPr>
          <w:rFonts w:cs="Arial"/>
          <w:sz w:val="22"/>
        </w:rPr>
      </w:pPr>
      <w:r w:rsidRPr="002B0586">
        <w:rPr>
          <w:rFonts w:cs="Arial"/>
          <w:sz w:val="22"/>
        </w:rPr>
        <w:t xml:space="preserve"> </w:t>
      </w:r>
    </w:p>
    <w:p w:rsidR="009C08AF" w:rsidRPr="002B0586" w:rsidRDefault="00AD6103" w:rsidP="002B0586">
      <w:pPr>
        <w:pStyle w:val="ListParagraph"/>
        <w:numPr>
          <w:ilvl w:val="0"/>
          <w:numId w:val="38"/>
        </w:numPr>
        <w:spacing w:after="0"/>
        <w:jc w:val="both"/>
        <w:rPr>
          <w:rFonts w:cs="Arial"/>
          <w:sz w:val="22"/>
        </w:rPr>
      </w:pPr>
      <w:r w:rsidRPr="002B0586">
        <w:rPr>
          <w:rFonts w:cs="Arial"/>
          <w:sz w:val="22"/>
        </w:rPr>
        <w:t>Under Section 713 of the Local Government Act 1993, Council can sell the land if any rates and charges are outstanding for more than five years.</w:t>
      </w:r>
    </w:p>
    <w:p w:rsidR="00880611" w:rsidRPr="00F27CC3" w:rsidRDefault="00880611" w:rsidP="00F27CC3">
      <w:pPr>
        <w:pStyle w:val="Heading1"/>
        <w:numPr>
          <w:ilvl w:val="0"/>
          <w:numId w:val="21"/>
        </w:numPr>
        <w:rPr>
          <w:rStyle w:val="Strong"/>
          <w:rFonts w:ascii="Arial" w:hAnsi="Arial" w:cs="Arial"/>
          <w:b/>
          <w:color w:val="31849B" w:themeColor="accent5" w:themeShade="BF"/>
          <w:sz w:val="24"/>
          <w:szCs w:val="24"/>
        </w:rPr>
      </w:pPr>
      <w:bookmarkStart w:id="19" w:name="_Toc408815865"/>
      <w:r w:rsidRPr="00F27CC3">
        <w:rPr>
          <w:rStyle w:val="Strong"/>
          <w:rFonts w:ascii="Arial" w:hAnsi="Arial" w:cs="Arial"/>
          <w:b/>
          <w:color w:val="31849B" w:themeColor="accent5" w:themeShade="BF"/>
          <w:sz w:val="24"/>
          <w:szCs w:val="24"/>
        </w:rPr>
        <w:t>Under what legislation can Council levy special rates?</w:t>
      </w:r>
      <w:bookmarkEnd w:id="19"/>
    </w:p>
    <w:p w:rsidR="00880611" w:rsidRPr="00F93DEF" w:rsidRDefault="00880611" w:rsidP="00070301">
      <w:pPr>
        <w:spacing w:after="0" w:line="240" w:lineRule="auto"/>
        <w:ind w:left="567"/>
        <w:jc w:val="both"/>
        <w:rPr>
          <w:rFonts w:cs="Arial"/>
          <w:sz w:val="22"/>
        </w:rPr>
      </w:pPr>
      <w:r w:rsidRPr="00F93DEF">
        <w:rPr>
          <w:rFonts w:cs="Arial"/>
          <w:sz w:val="22"/>
        </w:rPr>
        <w:t>Section 495 of the Local Government Act 1993 (LG Act)</w:t>
      </w:r>
      <w:r w:rsidR="00DA02F9" w:rsidRPr="00F93DEF">
        <w:rPr>
          <w:rFonts w:cs="Arial"/>
          <w:sz w:val="22"/>
        </w:rPr>
        <w:t xml:space="preserve"> provides the basis for the levying of special rates</w:t>
      </w:r>
      <w:r w:rsidRPr="00F93DEF">
        <w:rPr>
          <w:rFonts w:cs="Arial"/>
          <w:sz w:val="22"/>
        </w:rPr>
        <w:t xml:space="preserve">. </w:t>
      </w:r>
      <w:r w:rsidR="00DA02F9" w:rsidRPr="00F93DEF">
        <w:rPr>
          <w:rFonts w:cs="Arial"/>
          <w:sz w:val="22"/>
        </w:rPr>
        <w:t>It</w:t>
      </w:r>
      <w:r w:rsidRPr="00F93DEF">
        <w:rPr>
          <w:rFonts w:cs="Arial"/>
          <w:sz w:val="22"/>
        </w:rPr>
        <w:t xml:space="preserve"> states:</w:t>
      </w:r>
    </w:p>
    <w:p w:rsidR="00880611" w:rsidRPr="00F93DEF" w:rsidRDefault="00880611" w:rsidP="00880611">
      <w:pPr>
        <w:pStyle w:val="ListParagraph"/>
        <w:numPr>
          <w:ilvl w:val="0"/>
          <w:numId w:val="14"/>
        </w:numPr>
        <w:spacing w:before="120" w:after="120" w:line="240" w:lineRule="auto"/>
        <w:ind w:hanging="357"/>
        <w:contextualSpacing w:val="0"/>
        <w:jc w:val="both"/>
        <w:rPr>
          <w:rFonts w:cs="Arial"/>
          <w:i/>
          <w:sz w:val="22"/>
        </w:rPr>
      </w:pPr>
      <w:r w:rsidRPr="00F93DEF">
        <w:rPr>
          <w:rFonts w:cs="Arial"/>
          <w:i/>
          <w:sz w:val="22"/>
        </w:rPr>
        <w:t>A council may make a special rate for or towards meeting the cost of any works, services, facilities or activities provided or undertaken, or proposed to be provided or undertaken, by the council within the whole or any part of the council’s area, other than domestic waste management services.</w:t>
      </w:r>
    </w:p>
    <w:p w:rsidR="00880611" w:rsidRPr="00F93DEF" w:rsidRDefault="00880611" w:rsidP="00880611">
      <w:pPr>
        <w:pStyle w:val="ListParagraph"/>
        <w:numPr>
          <w:ilvl w:val="0"/>
          <w:numId w:val="14"/>
        </w:numPr>
        <w:spacing w:before="120" w:after="120" w:line="240" w:lineRule="auto"/>
        <w:ind w:hanging="357"/>
        <w:contextualSpacing w:val="0"/>
        <w:jc w:val="both"/>
        <w:rPr>
          <w:rFonts w:cs="Arial"/>
          <w:i/>
          <w:sz w:val="22"/>
        </w:rPr>
      </w:pPr>
      <w:r w:rsidRPr="00F93DEF">
        <w:rPr>
          <w:rFonts w:cs="Arial"/>
          <w:i/>
          <w:sz w:val="22"/>
        </w:rPr>
        <w:t>The special rate is to be levied on such rateable land in the council’s area as, in the council’s opinion:</w:t>
      </w:r>
    </w:p>
    <w:p w:rsidR="00880611" w:rsidRPr="00F93DEF" w:rsidRDefault="00880611" w:rsidP="00880611">
      <w:pPr>
        <w:pStyle w:val="ListParagraph"/>
        <w:numPr>
          <w:ilvl w:val="0"/>
          <w:numId w:val="17"/>
        </w:numPr>
        <w:spacing w:before="120" w:after="120" w:line="240" w:lineRule="auto"/>
        <w:ind w:hanging="357"/>
        <w:contextualSpacing w:val="0"/>
        <w:jc w:val="both"/>
        <w:rPr>
          <w:rFonts w:cs="Arial"/>
          <w:i/>
          <w:sz w:val="22"/>
        </w:rPr>
      </w:pPr>
      <w:r w:rsidRPr="00F93DEF">
        <w:rPr>
          <w:rFonts w:cs="Arial"/>
          <w:i/>
          <w:sz w:val="22"/>
        </w:rPr>
        <w:t>benefits or will benefit from the works, services, facilities or activities, or</w:t>
      </w:r>
    </w:p>
    <w:p w:rsidR="00880611" w:rsidRPr="00F93DEF" w:rsidRDefault="00880611" w:rsidP="00880611">
      <w:pPr>
        <w:pStyle w:val="ListParagraph"/>
        <w:numPr>
          <w:ilvl w:val="0"/>
          <w:numId w:val="17"/>
        </w:numPr>
        <w:spacing w:before="120" w:after="120" w:line="240" w:lineRule="auto"/>
        <w:ind w:hanging="357"/>
        <w:contextualSpacing w:val="0"/>
        <w:jc w:val="both"/>
        <w:rPr>
          <w:rFonts w:cs="Arial"/>
          <w:i/>
          <w:sz w:val="22"/>
        </w:rPr>
      </w:pPr>
      <w:r w:rsidRPr="00F93DEF">
        <w:rPr>
          <w:rFonts w:cs="Arial"/>
          <w:i/>
          <w:sz w:val="22"/>
        </w:rPr>
        <w:t>contributes or will contribute to the need for the works, services, facilities or activities, or</w:t>
      </w:r>
    </w:p>
    <w:p w:rsidR="00880611" w:rsidRPr="00F93DEF" w:rsidRDefault="00880611" w:rsidP="00880611">
      <w:pPr>
        <w:pStyle w:val="ListParagraph"/>
        <w:numPr>
          <w:ilvl w:val="0"/>
          <w:numId w:val="17"/>
        </w:numPr>
        <w:spacing w:before="120" w:after="120" w:line="240" w:lineRule="auto"/>
        <w:ind w:hanging="357"/>
        <w:contextualSpacing w:val="0"/>
        <w:jc w:val="both"/>
        <w:rPr>
          <w:rFonts w:cs="Arial"/>
          <w:i/>
          <w:sz w:val="22"/>
        </w:rPr>
      </w:pPr>
      <w:proofErr w:type="gramStart"/>
      <w:r w:rsidRPr="00F93DEF">
        <w:rPr>
          <w:rFonts w:cs="Arial"/>
          <w:i/>
          <w:sz w:val="22"/>
        </w:rPr>
        <w:t>has</w:t>
      </w:r>
      <w:proofErr w:type="gramEnd"/>
      <w:r w:rsidRPr="00F93DEF">
        <w:rPr>
          <w:rFonts w:cs="Arial"/>
          <w:i/>
          <w:sz w:val="22"/>
        </w:rPr>
        <w:t xml:space="preserve"> or will have access to the works, services, facilities or activities.</w:t>
      </w:r>
    </w:p>
    <w:p w:rsidR="00880611" w:rsidRPr="00F93DEF" w:rsidRDefault="00DA32F7" w:rsidP="00070301">
      <w:pPr>
        <w:spacing w:after="0" w:line="240" w:lineRule="auto"/>
        <w:ind w:left="567"/>
        <w:jc w:val="both"/>
        <w:rPr>
          <w:rFonts w:cs="Arial"/>
          <w:sz w:val="22"/>
        </w:rPr>
      </w:pPr>
      <w:r w:rsidRPr="00F93DEF">
        <w:rPr>
          <w:rFonts w:cs="Arial"/>
          <w:sz w:val="22"/>
        </w:rPr>
        <w:t xml:space="preserve">The proposed special rates are consistent with </w:t>
      </w:r>
      <w:r w:rsidR="00406C4D" w:rsidRPr="00F93DEF">
        <w:rPr>
          <w:rFonts w:cs="Arial"/>
          <w:sz w:val="22"/>
        </w:rPr>
        <w:t>the above legal provisions</w:t>
      </w:r>
      <w:r w:rsidRPr="00F93DEF">
        <w:rPr>
          <w:rFonts w:cs="Arial"/>
          <w:sz w:val="22"/>
        </w:rPr>
        <w:t>.</w:t>
      </w:r>
    </w:p>
    <w:p w:rsidR="00FA057C" w:rsidRPr="002B0586" w:rsidRDefault="00FA057C" w:rsidP="002B0586">
      <w:pPr>
        <w:pStyle w:val="Heading1"/>
        <w:numPr>
          <w:ilvl w:val="0"/>
          <w:numId w:val="21"/>
        </w:numPr>
        <w:rPr>
          <w:rStyle w:val="Strong"/>
          <w:rFonts w:ascii="Arial" w:hAnsi="Arial" w:cs="Arial"/>
          <w:b/>
          <w:color w:val="31849B" w:themeColor="accent5" w:themeShade="BF"/>
          <w:sz w:val="24"/>
          <w:szCs w:val="24"/>
        </w:rPr>
      </w:pPr>
      <w:bookmarkStart w:id="20" w:name="_Toc408815866"/>
      <w:r w:rsidRPr="002B0586">
        <w:rPr>
          <w:rStyle w:val="Strong"/>
          <w:rFonts w:ascii="Arial" w:hAnsi="Arial" w:cs="Arial"/>
          <w:b/>
          <w:color w:val="31849B" w:themeColor="accent5" w:themeShade="BF"/>
          <w:sz w:val="24"/>
          <w:szCs w:val="24"/>
        </w:rPr>
        <w:t>My property is unable to be developed unless it is amalgamated. Why should I have to pay for the road and electricity infrastructure?</w:t>
      </w:r>
      <w:bookmarkEnd w:id="20"/>
    </w:p>
    <w:p w:rsidR="00FA057C" w:rsidRPr="00F93DEF" w:rsidRDefault="00FA057C" w:rsidP="00070301">
      <w:pPr>
        <w:spacing w:after="0"/>
        <w:ind w:left="567"/>
        <w:jc w:val="both"/>
        <w:rPr>
          <w:rFonts w:cs="Arial"/>
          <w:sz w:val="22"/>
        </w:rPr>
      </w:pPr>
      <w:r w:rsidRPr="00F93DEF">
        <w:rPr>
          <w:rFonts w:cs="Arial"/>
          <w:sz w:val="22"/>
        </w:rPr>
        <w:t xml:space="preserve">The road and electricity infrastructure will benefit all properties that can potentially form part of a developable lot.  </w:t>
      </w:r>
      <w:r w:rsidR="009659CB" w:rsidRPr="00F93DEF">
        <w:rPr>
          <w:rFonts w:cs="Arial"/>
          <w:sz w:val="22"/>
        </w:rPr>
        <w:t>See information above on S 495 of the LG Act.</w:t>
      </w:r>
      <w:r w:rsidR="00880611" w:rsidRPr="00F93DEF">
        <w:rPr>
          <w:rFonts w:cs="Arial"/>
          <w:sz w:val="22"/>
        </w:rPr>
        <w:t xml:space="preserve"> </w:t>
      </w:r>
    </w:p>
    <w:p w:rsidR="009659CB" w:rsidRPr="002B0586" w:rsidRDefault="009659CB" w:rsidP="002B0586">
      <w:pPr>
        <w:pStyle w:val="Heading1"/>
        <w:numPr>
          <w:ilvl w:val="0"/>
          <w:numId w:val="21"/>
        </w:numPr>
        <w:rPr>
          <w:rStyle w:val="Strong"/>
          <w:rFonts w:ascii="Arial" w:hAnsi="Arial" w:cs="Arial"/>
          <w:b/>
          <w:color w:val="31849B" w:themeColor="accent5" w:themeShade="BF"/>
          <w:sz w:val="24"/>
          <w:szCs w:val="24"/>
        </w:rPr>
      </w:pPr>
      <w:bookmarkStart w:id="21" w:name="_Toc408815867"/>
      <w:r w:rsidRPr="002B0586">
        <w:rPr>
          <w:rStyle w:val="Strong"/>
          <w:rFonts w:ascii="Arial" w:hAnsi="Arial" w:cs="Arial"/>
          <w:b/>
          <w:color w:val="31849B" w:themeColor="accent5" w:themeShade="BF"/>
          <w:sz w:val="24"/>
          <w:szCs w:val="24"/>
        </w:rPr>
        <w:t xml:space="preserve">My property is in the “E2 – Environmental Conservation” zone and is unable to form part of a developable property. Why should I have to contribute </w:t>
      </w:r>
      <w:r w:rsidR="00EF24BA" w:rsidRPr="002B0586">
        <w:rPr>
          <w:rStyle w:val="Strong"/>
          <w:rFonts w:ascii="Arial" w:hAnsi="Arial" w:cs="Arial"/>
          <w:b/>
          <w:color w:val="31849B" w:themeColor="accent5" w:themeShade="BF"/>
          <w:sz w:val="24"/>
          <w:szCs w:val="24"/>
        </w:rPr>
        <w:t xml:space="preserve">to </w:t>
      </w:r>
      <w:r w:rsidRPr="002B0586">
        <w:rPr>
          <w:rStyle w:val="Strong"/>
          <w:rFonts w:ascii="Arial" w:hAnsi="Arial" w:cs="Arial"/>
          <w:b/>
          <w:color w:val="31849B" w:themeColor="accent5" w:themeShade="BF"/>
          <w:sz w:val="24"/>
          <w:szCs w:val="24"/>
        </w:rPr>
        <w:t>the road infrastructure?</w:t>
      </w:r>
      <w:bookmarkEnd w:id="21"/>
    </w:p>
    <w:p w:rsidR="009659CB" w:rsidRPr="00F93DEF" w:rsidRDefault="009659CB" w:rsidP="009659CB">
      <w:pPr>
        <w:spacing w:after="0"/>
        <w:ind w:left="567"/>
        <w:jc w:val="both"/>
        <w:rPr>
          <w:rFonts w:cs="Arial"/>
          <w:sz w:val="22"/>
        </w:rPr>
      </w:pPr>
      <w:r w:rsidRPr="00F93DEF">
        <w:rPr>
          <w:rFonts w:cs="Arial"/>
          <w:sz w:val="22"/>
        </w:rPr>
        <w:t>The road infrastructure will provide improved access for all properties in the Estate.  See information above on S 495 of the LG Act.</w:t>
      </w:r>
    </w:p>
    <w:p w:rsidR="009659CB" w:rsidRPr="002B0586" w:rsidRDefault="009659CB" w:rsidP="002B0586">
      <w:pPr>
        <w:pStyle w:val="Heading1"/>
        <w:numPr>
          <w:ilvl w:val="0"/>
          <w:numId w:val="21"/>
        </w:numPr>
        <w:rPr>
          <w:rStyle w:val="Strong"/>
          <w:rFonts w:ascii="Arial" w:hAnsi="Arial" w:cs="Arial"/>
          <w:b/>
          <w:color w:val="31849B" w:themeColor="accent5" w:themeShade="BF"/>
          <w:sz w:val="24"/>
          <w:szCs w:val="24"/>
        </w:rPr>
      </w:pPr>
      <w:bookmarkStart w:id="22" w:name="_Toc408815868"/>
      <w:r w:rsidRPr="002B0586">
        <w:rPr>
          <w:rStyle w:val="Strong"/>
          <w:rFonts w:ascii="Arial" w:hAnsi="Arial" w:cs="Arial"/>
          <w:b/>
          <w:color w:val="31849B" w:themeColor="accent5" w:themeShade="BF"/>
          <w:sz w:val="24"/>
          <w:szCs w:val="24"/>
        </w:rPr>
        <w:t xml:space="preserve">I am happy living in the Estate, why </w:t>
      </w:r>
      <w:r w:rsidR="00572C4C" w:rsidRPr="002B0586">
        <w:rPr>
          <w:rStyle w:val="Strong"/>
          <w:rFonts w:ascii="Arial" w:hAnsi="Arial" w:cs="Arial"/>
          <w:b/>
          <w:color w:val="31849B" w:themeColor="accent5" w:themeShade="BF"/>
          <w:sz w:val="24"/>
          <w:szCs w:val="24"/>
        </w:rPr>
        <w:t xml:space="preserve">doesn’t Council just leave me </w:t>
      </w:r>
      <w:r w:rsidRPr="002B0586">
        <w:rPr>
          <w:rStyle w:val="Strong"/>
          <w:rFonts w:ascii="Arial" w:hAnsi="Arial" w:cs="Arial"/>
          <w:b/>
          <w:color w:val="31849B" w:themeColor="accent5" w:themeShade="BF"/>
          <w:sz w:val="24"/>
          <w:szCs w:val="24"/>
        </w:rPr>
        <w:t>alone?</w:t>
      </w:r>
      <w:bookmarkEnd w:id="22"/>
    </w:p>
    <w:p w:rsidR="00ED526E" w:rsidRPr="00ED526E" w:rsidRDefault="009659CB" w:rsidP="00ED526E">
      <w:pPr>
        <w:pStyle w:val="ListParagraph"/>
        <w:numPr>
          <w:ilvl w:val="0"/>
          <w:numId w:val="40"/>
        </w:numPr>
        <w:spacing w:after="0" w:line="240" w:lineRule="auto"/>
        <w:ind w:left="1080"/>
        <w:jc w:val="both"/>
        <w:rPr>
          <w:rFonts w:cs="Arial"/>
          <w:sz w:val="22"/>
        </w:rPr>
      </w:pPr>
      <w:r w:rsidRPr="00ED526E">
        <w:rPr>
          <w:rFonts w:cs="Arial"/>
          <w:sz w:val="22"/>
        </w:rPr>
        <w:t xml:space="preserve">Currently there are numerous unauthorised structures in the Estate. </w:t>
      </w:r>
    </w:p>
    <w:p w:rsidR="00ED526E" w:rsidRDefault="00ED526E" w:rsidP="00ED526E">
      <w:pPr>
        <w:spacing w:after="0" w:line="240" w:lineRule="auto"/>
        <w:ind w:left="360"/>
        <w:jc w:val="both"/>
        <w:rPr>
          <w:rFonts w:cs="Arial"/>
          <w:sz w:val="22"/>
        </w:rPr>
      </w:pPr>
    </w:p>
    <w:p w:rsidR="00ED526E" w:rsidRPr="00ED526E" w:rsidRDefault="00F76AB8" w:rsidP="00ED526E">
      <w:pPr>
        <w:pStyle w:val="ListParagraph"/>
        <w:numPr>
          <w:ilvl w:val="0"/>
          <w:numId w:val="40"/>
        </w:numPr>
        <w:spacing w:after="0" w:line="240" w:lineRule="auto"/>
        <w:ind w:left="1080"/>
        <w:jc w:val="both"/>
        <w:rPr>
          <w:rFonts w:cs="Arial"/>
          <w:sz w:val="22"/>
        </w:rPr>
      </w:pPr>
      <w:r w:rsidRPr="00ED526E">
        <w:rPr>
          <w:rFonts w:cs="Arial"/>
          <w:sz w:val="22"/>
        </w:rPr>
        <w:t xml:space="preserve">Letting this situation continue indefinitely is not an option.  </w:t>
      </w:r>
      <w:r w:rsidR="009659CB" w:rsidRPr="00ED526E">
        <w:rPr>
          <w:rFonts w:cs="Arial"/>
          <w:sz w:val="22"/>
        </w:rPr>
        <w:t xml:space="preserve"> </w:t>
      </w:r>
    </w:p>
    <w:p w:rsidR="00ED526E" w:rsidRDefault="00ED526E" w:rsidP="00ED526E">
      <w:pPr>
        <w:spacing w:after="0" w:line="240" w:lineRule="auto"/>
        <w:ind w:left="360"/>
        <w:jc w:val="both"/>
        <w:rPr>
          <w:rFonts w:cs="Arial"/>
          <w:sz w:val="22"/>
        </w:rPr>
      </w:pPr>
    </w:p>
    <w:p w:rsidR="00ED526E" w:rsidRPr="00ED526E" w:rsidRDefault="00ED526E" w:rsidP="00ED526E">
      <w:pPr>
        <w:pStyle w:val="ListParagraph"/>
        <w:numPr>
          <w:ilvl w:val="0"/>
          <w:numId w:val="40"/>
        </w:numPr>
        <w:spacing w:after="0" w:line="240" w:lineRule="auto"/>
        <w:ind w:left="1080"/>
        <w:jc w:val="both"/>
        <w:rPr>
          <w:rFonts w:cs="Arial"/>
          <w:sz w:val="22"/>
        </w:rPr>
      </w:pPr>
      <w:r w:rsidRPr="00ED526E">
        <w:rPr>
          <w:rFonts w:cs="Arial"/>
          <w:sz w:val="22"/>
        </w:rPr>
        <w:t>I</w:t>
      </w:r>
      <w:r w:rsidR="009659CB" w:rsidRPr="00ED526E">
        <w:rPr>
          <w:rFonts w:cs="Arial"/>
          <w:sz w:val="22"/>
        </w:rPr>
        <w:t>t is im</w:t>
      </w:r>
      <w:r w:rsidR="00572B01" w:rsidRPr="00ED526E">
        <w:rPr>
          <w:rFonts w:cs="Arial"/>
          <w:sz w:val="22"/>
        </w:rPr>
        <w:t>portant</w:t>
      </w:r>
      <w:r w:rsidR="009659CB" w:rsidRPr="00ED526E">
        <w:rPr>
          <w:rFonts w:cs="Arial"/>
          <w:sz w:val="22"/>
        </w:rPr>
        <w:t xml:space="preserve"> that all existing unauthorised structures in the Estate are either </w:t>
      </w:r>
      <w:r w:rsidR="000727B0" w:rsidRPr="00ED526E">
        <w:rPr>
          <w:rFonts w:cs="Arial"/>
          <w:sz w:val="22"/>
        </w:rPr>
        <w:t>regularised</w:t>
      </w:r>
      <w:r w:rsidR="009659CB" w:rsidRPr="00ED526E">
        <w:rPr>
          <w:rFonts w:cs="Arial"/>
          <w:sz w:val="22"/>
        </w:rPr>
        <w:t xml:space="preserve"> via a development application process, or removed.  </w:t>
      </w:r>
    </w:p>
    <w:p w:rsidR="00ED526E" w:rsidRDefault="00ED526E" w:rsidP="00ED526E">
      <w:pPr>
        <w:spacing w:after="0" w:line="240" w:lineRule="auto"/>
        <w:ind w:left="360"/>
        <w:jc w:val="both"/>
        <w:rPr>
          <w:rFonts w:cs="Arial"/>
          <w:sz w:val="22"/>
        </w:rPr>
      </w:pPr>
    </w:p>
    <w:p w:rsidR="009659CB" w:rsidRPr="00ED526E" w:rsidRDefault="000727B0" w:rsidP="00ED526E">
      <w:pPr>
        <w:pStyle w:val="ListParagraph"/>
        <w:numPr>
          <w:ilvl w:val="0"/>
          <w:numId w:val="40"/>
        </w:numPr>
        <w:spacing w:after="0" w:line="240" w:lineRule="auto"/>
        <w:ind w:left="1080"/>
        <w:jc w:val="both"/>
        <w:rPr>
          <w:rFonts w:cs="Arial"/>
          <w:sz w:val="22"/>
        </w:rPr>
      </w:pPr>
      <w:r w:rsidRPr="00ED526E">
        <w:rPr>
          <w:rFonts w:cs="Arial"/>
          <w:sz w:val="22"/>
        </w:rPr>
        <w:t xml:space="preserve">Council will be making a concerted effort to ensure this occurs.  </w:t>
      </w:r>
      <w:r w:rsidR="009659CB" w:rsidRPr="00ED526E">
        <w:rPr>
          <w:rFonts w:cs="Arial"/>
          <w:sz w:val="22"/>
        </w:rPr>
        <w:t>Landowners are encouraged to be proactive to avoid the prospect of legal action.</w:t>
      </w:r>
    </w:p>
    <w:p w:rsidR="004753BC" w:rsidRPr="002B0586" w:rsidRDefault="004753BC" w:rsidP="002B0586">
      <w:pPr>
        <w:pStyle w:val="Heading1"/>
        <w:numPr>
          <w:ilvl w:val="0"/>
          <w:numId w:val="21"/>
        </w:numPr>
        <w:rPr>
          <w:rStyle w:val="Strong"/>
          <w:rFonts w:ascii="Arial" w:hAnsi="Arial" w:cs="Arial"/>
          <w:b/>
          <w:color w:val="31849B" w:themeColor="accent5" w:themeShade="BF"/>
          <w:sz w:val="24"/>
          <w:szCs w:val="24"/>
        </w:rPr>
      </w:pPr>
      <w:bookmarkStart w:id="23" w:name="_Toc408815869"/>
      <w:r w:rsidRPr="002B0586">
        <w:rPr>
          <w:rStyle w:val="Strong"/>
          <w:rFonts w:ascii="Arial" w:hAnsi="Arial" w:cs="Arial"/>
          <w:b/>
          <w:color w:val="31849B" w:themeColor="accent5" w:themeShade="BF"/>
          <w:sz w:val="24"/>
          <w:szCs w:val="24"/>
        </w:rPr>
        <w:lastRenderedPageBreak/>
        <w:t xml:space="preserve">Does Council need to consult with </w:t>
      </w:r>
      <w:r w:rsidR="00572B01" w:rsidRPr="002B0586">
        <w:rPr>
          <w:rStyle w:val="Strong"/>
          <w:rFonts w:ascii="Arial" w:hAnsi="Arial" w:cs="Arial"/>
          <w:b/>
          <w:color w:val="31849B" w:themeColor="accent5" w:themeShade="BF"/>
          <w:sz w:val="24"/>
          <w:szCs w:val="24"/>
        </w:rPr>
        <w:t>landowners</w:t>
      </w:r>
      <w:r w:rsidRPr="002B0586">
        <w:rPr>
          <w:rStyle w:val="Strong"/>
          <w:rFonts w:ascii="Arial" w:hAnsi="Arial" w:cs="Arial"/>
          <w:b/>
          <w:color w:val="31849B" w:themeColor="accent5" w:themeShade="BF"/>
          <w:sz w:val="24"/>
          <w:szCs w:val="24"/>
        </w:rPr>
        <w:t xml:space="preserve"> before introducing </w:t>
      </w:r>
      <w:r w:rsidR="00572C4C" w:rsidRPr="002B0586">
        <w:rPr>
          <w:rStyle w:val="Strong"/>
          <w:rFonts w:ascii="Arial" w:hAnsi="Arial" w:cs="Arial"/>
          <w:b/>
          <w:color w:val="31849B" w:themeColor="accent5" w:themeShade="BF"/>
          <w:sz w:val="24"/>
          <w:szCs w:val="24"/>
        </w:rPr>
        <w:t>the</w:t>
      </w:r>
      <w:r w:rsidRPr="002B0586">
        <w:rPr>
          <w:rStyle w:val="Strong"/>
          <w:rFonts w:ascii="Arial" w:hAnsi="Arial" w:cs="Arial"/>
          <w:b/>
          <w:color w:val="31849B" w:themeColor="accent5" w:themeShade="BF"/>
          <w:sz w:val="24"/>
          <w:szCs w:val="24"/>
        </w:rPr>
        <w:t xml:space="preserve"> new special rate</w:t>
      </w:r>
      <w:r w:rsidR="00572C4C" w:rsidRPr="002B0586">
        <w:rPr>
          <w:rStyle w:val="Strong"/>
          <w:rFonts w:ascii="Arial" w:hAnsi="Arial" w:cs="Arial"/>
          <w:b/>
          <w:color w:val="31849B" w:themeColor="accent5" w:themeShade="BF"/>
          <w:sz w:val="24"/>
          <w:szCs w:val="24"/>
        </w:rPr>
        <w:t>s</w:t>
      </w:r>
      <w:r w:rsidRPr="002B0586">
        <w:rPr>
          <w:rStyle w:val="Strong"/>
          <w:rFonts w:ascii="Arial" w:hAnsi="Arial" w:cs="Arial"/>
          <w:b/>
          <w:color w:val="31849B" w:themeColor="accent5" w:themeShade="BF"/>
          <w:sz w:val="24"/>
          <w:szCs w:val="24"/>
        </w:rPr>
        <w:t>?</w:t>
      </w:r>
      <w:bookmarkEnd w:id="23"/>
    </w:p>
    <w:p w:rsidR="004753BC" w:rsidRPr="00F93DEF" w:rsidRDefault="004753BC" w:rsidP="00070301">
      <w:pPr>
        <w:spacing w:after="0" w:line="240" w:lineRule="auto"/>
        <w:ind w:left="567"/>
        <w:jc w:val="both"/>
        <w:rPr>
          <w:rFonts w:cs="Arial"/>
          <w:szCs w:val="24"/>
        </w:rPr>
      </w:pPr>
    </w:p>
    <w:p w:rsidR="00ED526E" w:rsidRPr="00ED526E" w:rsidRDefault="005C37B7" w:rsidP="00ED526E">
      <w:pPr>
        <w:pStyle w:val="ListParagraph"/>
        <w:numPr>
          <w:ilvl w:val="0"/>
          <w:numId w:val="41"/>
        </w:numPr>
        <w:spacing w:after="0"/>
        <w:ind w:left="1080"/>
        <w:jc w:val="both"/>
        <w:rPr>
          <w:rFonts w:cs="Arial"/>
          <w:sz w:val="22"/>
        </w:rPr>
      </w:pPr>
      <w:r w:rsidRPr="00ED526E">
        <w:rPr>
          <w:rFonts w:cs="Arial"/>
          <w:sz w:val="22"/>
        </w:rPr>
        <w:t>Yes</w:t>
      </w:r>
      <w:r w:rsidR="00572B01" w:rsidRPr="00ED526E">
        <w:rPr>
          <w:rFonts w:cs="Arial"/>
          <w:sz w:val="22"/>
        </w:rPr>
        <w:t>, Council will continue to consult with affected landowners</w:t>
      </w:r>
      <w:r w:rsidRPr="00ED526E">
        <w:rPr>
          <w:rFonts w:cs="Arial"/>
          <w:sz w:val="22"/>
        </w:rPr>
        <w:t xml:space="preserve">. </w:t>
      </w:r>
    </w:p>
    <w:p w:rsidR="00ED526E" w:rsidRDefault="00ED526E" w:rsidP="00ED526E">
      <w:pPr>
        <w:spacing w:after="0"/>
        <w:ind w:left="360"/>
        <w:jc w:val="both"/>
        <w:rPr>
          <w:rFonts w:cs="Arial"/>
          <w:sz w:val="22"/>
        </w:rPr>
      </w:pPr>
    </w:p>
    <w:p w:rsidR="002B05AA" w:rsidRPr="00ED526E" w:rsidRDefault="00357A4E" w:rsidP="00ED526E">
      <w:pPr>
        <w:pStyle w:val="ListParagraph"/>
        <w:numPr>
          <w:ilvl w:val="0"/>
          <w:numId w:val="41"/>
        </w:numPr>
        <w:spacing w:after="0"/>
        <w:ind w:left="1080"/>
        <w:jc w:val="both"/>
        <w:rPr>
          <w:rFonts w:cs="Arial"/>
          <w:sz w:val="22"/>
        </w:rPr>
      </w:pPr>
      <w:r w:rsidRPr="00ED526E">
        <w:rPr>
          <w:rFonts w:cs="Arial"/>
          <w:sz w:val="22"/>
        </w:rPr>
        <w:t>A landowner survey has been prepared to seek feedback and gauge the level of support.</w:t>
      </w:r>
      <w:r w:rsidR="00572C4C" w:rsidRPr="00ED526E">
        <w:rPr>
          <w:rFonts w:cs="Arial"/>
          <w:sz w:val="22"/>
        </w:rPr>
        <w:t xml:space="preserve">  It is important that you take this opportunity to provide feedback regardless of whether you support or oppose the proposed special rates.</w:t>
      </w:r>
    </w:p>
    <w:p w:rsidR="009636A5" w:rsidRPr="002B0586" w:rsidRDefault="009636A5" w:rsidP="002B0586">
      <w:pPr>
        <w:pStyle w:val="Heading1"/>
        <w:numPr>
          <w:ilvl w:val="0"/>
          <w:numId w:val="21"/>
        </w:numPr>
        <w:rPr>
          <w:rStyle w:val="Strong"/>
          <w:rFonts w:ascii="Arial" w:hAnsi="Arial" w:cs="Arial"/>
          <w:b/>
          <w:color w:val="31849B" w:themeColor="accent5" w:themeShade="BF"/>
          <w:sz w:val="24"/>
          <w:szCs w:val="24"/>
        </w:rPr>
      </w:pPr>
      <w:bookmarkStart w:id="24" w:name="_Toc408815870"/>
      <w:r w:rsidRPr="002B0586">
        <w:rPr>
          <w:rStyle w:val="Strong"/>
          <w:rFonts w:ascii="Arial" w:hAnsi="Arial" w:cs="Arial"/>
          <w:b/>
          <w:color w:val="31849B" w:themeColor="accent5" w:themeShade="BF"/>
          <w:sz w:val="24"/>
          <w:szCs w:val="24"/>
        </w:rPr>
        <w:t xml:space="preserve">When does the application for Special </w:t>
      </w:r>
      <w:r w:rsidR="00414BA4" w:rsidRPr="002B0586">
        <w:rPr>
          <w:rStyle w:val="Strong"/>
          <w:rFonts w:ascii="Arial" w:hAnsi="Arial" w:cs="Arial"/>
          <w:b/>
          <w:color w:val="31849B" w:themeColor="accent5" w:themeShade="BF"/>
          <w:sz w:val="24"/>
          <w:szCs w:val="24"/>
        </w:rPr>
        <w:t xml:space="preserve">Variation </w:t>
      </w:r>
      <w:r w:rsidR="005C37B7" w:rsidRPr="002B0586">
        <w:rPr>
          <w:rStyle w:val="Strong"/>
          <w:rFonts w:ascii="Arial" w:hAnsi="Arial" w:cs="Arial"/>
          <w:b/>
          <w:color w:val="31849B" w:themeColor="accent5" w:themeShade="BF"/>
          <w:sz w:val="24"/>
          <w:szCs w:val="24"/>
        </w:rPr>
        <w:t>need to be made?</w:t>
      </w:r>
      <w:bookmarkEnd w:id="24"/>
    </w:p>
    <w:p w:rsidR="009636A5" w:rsidRPr="00F93DEF" w:rsidRDefault="009636A5" w:rsidP="00070301">
      <w:pPr>
        <w:tabs>
          <w:tab w:val="left" w:pos="567"/>
        </w:tabs>
        <w:spacing w:after="0" w:line="240" w:lineRule="auto"/>
        <w:ind w:left="567"/>
        <w:jc w:val="both"/>
        <w:rPr>
          <w:rFonts w:cs="Arial"/>
          <w:sz w:val="22"/>
        </w:rPr>
      </w:pPr>
    </w:p>
    <w:p w:rsidR="009636A5" w:rsidRPr="00ED526E" w:rsidRDefault="00EF24BA" w:rsidP="00ED526E">
      <w:pPr>
        <w:pStyle w:val="ListParagraph"/>
        <w:numPr>
          <w:ilvl w:val="0"/>
          <w:numId w:val="42"/>
        </w:numPr>
        <w:tabs>
          <w:tab w:val="left" w:pos="567"/>
        </w:tabs>
        <w:spacing w:after="0"/>
        <w:jc w:val="both"/>
        <w:rPr>
          <w:rFonts w:cs="Arial"/>
          <w:sz w:val="22"/>
        </w:rPr>
      </w:pPr>
      <w:r w:rsidRPr="00ED526E">
        <w:rPr>
          <w:rFonts w:cs="Arial"/>
          <w:sz w:val="22"/>
        </w:rPr>
        <w:t>The</w:t>
      </w:r>
      <w:r w:rsidR="009636A5" w:rsidRPr="00ED526E">
        <w:rPr>
          <w:rFonts w:cs="Arial"/>
          <w:sz w:val="22"/>
        </w:rPr>
        <w:t xml:space="preserve"> Special </w:t>
      </w:r>
      <w:r w:rsidRPr="00ED526E">
        <w:rPr>
          <w:rFonts w:cs="Arial"/>
          <w:sz w:val="22"/>
        </w:rPr>
        <w:t xml:space="preserve">Rate </w:t>
      </w:r>
      <w:r w:rsidR="009636A5" w:rsidRPr="00ED526E">
        <w:rPr>
          <w:rFonts w:cs="Arial"/>
          <w:sz w:val="22"/>
        </w:rPr>
        <w:t>Variation application</w:t>
      </w:r>
      <w:r w:rsidRPr="00ED526E">
        <w:rPr>
          <w:rFonts w:cs="Arial"/>
          <w:sz w:val="22"/>
        </w:rPr>
        <w:t xml:space="preserve"> must be submitted</w:t>
      </w:r>
      <w:r w:rsidR="009636A5" w:rsidRPr="00ED526E">
        <w:rPr>
          <w:rFonts w:cs="Arial"/>
          <w:sz w:val="22"/>
        </w:rPr>
        <w:t xml:space="preserve"> by </w:t>
      </w:r>
      <w:r w:rsidR="00EB577B" w:rsidRPr="00ED526E">
        <w:rPr>
          <w:rFonts w:cs="Arial"/>
          <w:sz w:val="22"/>
        </w:rPr>
        <w:t>16</w:t>
      </w:r>
      <w:r w:rsidR="00EB577B" w:rsidRPr="00ED526E">
        <w:rPr>
          <w:rFonts w:cs="Arial"/>
          <w:sz w:val="22"/>
          <w:vertAlign w:val="superscript"/>
        </w:rPr>
        <w:t>th</w:t>
      </w:r>
      <w:r w:rsidR="00EB577B" w:rsidRPr="00ED526E">
        <w:rPr>
          <w:rFonts w:cs="Arial"/>
          <w:sz w:val="22"/>
        </w:rPr>
        <w:t xml:space="preserve"> </w:t>
      </w:r>
      <w:r w:rsidR="009636A5" w:rsidRPr="00ED526E">
        <w:rPr>
          <w:rFonts w:cs="Arial"/>
          <w:sz w:val="22"/>
        </w:rPr>
        <w:t>February</w:t>
      </w:r>
      <w:r w:rsidR="00E12BAB" w:rsidRPr="00ED526E">
        <w:rPr>
          <w:rFonts w:cs="Arial"/>
          <w:sz w:val="22"/>
        </w:rPr>
        <w:t>, 2015</w:t>
      </w:r>
      <w:r w:rsidR="009636A5" w:rsidRPr="00ED526E">
        <w:rPr>
          <w:rFonts w:cs="Arial"/>
          <w:sz w:val="22"/>
        </w:rPr>
        <w:t>.</w:t>
      </w:r>
    </w:p>
    <w:p w:rsidR="009636A5" w:rsidRPr="002B0586" w:rsidRDefault="009636A5" w:rsidP="002B0586">
      <w:pPr>
        <w:pStyle w:val="Heading1"/>
        <w:numPr>
          <w:ilvl w:val="0"/>
          <w:numId w:val="21"/>
        </w:numPr>
        <w:rPr>
          <w:rStyle w:val="Strong"/>
          <w:rFonts w:ascii="Arial" w:hAnsi="Arial" w:cs="Arial"/>
          <w:b/>
          <w:color w:val="31849B" w:themeColor="accent5" w:themeShade="BF"/>
          <w:sz w:val="24"/>
          <w:szCs w:val="24"/>
        </w:rPr>
      </w:pPr>
      <w:bookmarkStart w:id="25" w:name="_Toc408815871"/>
      <w:r w:rsidRPr="002B0586">
        <w:rPr>
          <w:rStyle w:val="Strong"/>
          <w:rFonts w:ascii="Arial" w:hAnsi="Arial" w:cs="Arial"/>
          <w:b/>
          <w:color w:val="31849B" w:themeColor="accent5" w:themeShade="BF"/>
          <w:sz w:val="24"/>
          <w:szCs w:val="24"/>
        </w:rPr>
        <w:t>When will we find out if t</w:t>
      </w:r>
      <w:r w:rsidR="00D9538A" w:rsidRPr="002B0586">
        <w:rPr>
          <w:rStyle w:val="Strong"/>
          <w:rFonts w:ascii="Arial" w:hAnsi="Arial" w:cs="Arial"/>
          <w:b/>
          <w:color w:val="31849B" w:themeColor="accent5" w:themeShade="BF"/>
          <w:sz w:val="24"/>
          <w:szCs w:val="24"/>
        </w:rPr>
        <w:t>he special rate</w:t>
      </w:r>
      <w:r w:rsidR="00572C4C" w:rsidRPr="002B0586">
        <w:rPr>
          <w:rStyle w:val="Strong"/>
          <w:rFonts w:ascii="Arial" w:hAnsi="Arial" w:cs="Arial"/>
          <w:b/>
          <w:color w:val="31849B" w:themeColor="accent5" w:themeShade="BF"/>
          <w:sz w:val="24"/>
          <w:szCs w:val="24"/>
        </w:rPr>
        <w:t>s</w:t>
      </w:r>
      <w:r w:rsidR="00D9538A" w:rsidRPr="002B0586">
        <w:rPr>
          <w:rStyle w:val="Strong"/>
          <w:rFonts w:ascii="Arial" w:hAnsi="Arial" w:cs="Arial"/>
          <w:b/>
          <w:color w:val="31849B" w:themeColor="accent5" w:themeShade="BF"/>
          <w:sz w:val="24"/>
          <w:szCs w:val="24"/>
        </w:rPr>
        <w:t xml:space="preserve"> will be </w:t>
      </w:r>
      <w:r w:rsidR="00FF2DC2" w:rsidRPr="002B0586">
        <w:rPr>
          <w:rStyle w:val="Strong"/>
          <w:rFonts w:ascii="Arial" w:hAnsi="Arial" w:cs="Arial"/>
          <w:b/>
          <w:color w:val="31849B" w:themeColor="accent5" w:themeShade="BF"/>
          <w:sz w:val="24"/>
          <w:szCs w:val="24"/>
        </w:rPr>
        <w:t>levied</w:t>
      </w:r>
      <w:r w:rsidR="00D9538A" w:rsidRPr="002B0586">
        <w:rPr>
          <w:rStyle w:val="Strong"/>
          <w:rFonts w:ascii="Arial" w:hAnsi="Arial" w:cs="Arial"/>
          <w:b/>
          <w:color w:val="31849B" w:themeColor="accent5" w:themeShade="BF"/>
          <w:sz w:val="24"/>
          <w:szCs w:val="24"/>
        </w:rPr>
        <w:t>?</w:t>
      </w:r>
      <w:bookmarkEnd w:id="25"/>
    </w:p>
    <w:p w:rsidR="00357A4E" w:rsidRPr="00ED526E" w:rsidRDefault="009636A5" w:rsidP="00ED526E">
      <w:pPr>
        <w:pStyle w:val="ListParagraph"/>
        <w:numPr>
          <w:ilvl w:val="0"/>
          <w:numId w:val="42"/>
        </w:numPr>
        <w:spacing w:after="0"/>
        <w:jc w:val="both"/>
        <w:rPr>
          <w:rFonts w:cs="Arial"/>
          <w:sz w:val="22"/>
        </w:rPr>
      </w:pPr>
      <w:r w:rsidRPr="00ED526E">
        <w:rPr>
          <w:rFonts w:cs="Arial"/>
          <w:sz w:val="22"/>
        </w:rPr>
        <w:t xml:space="preserve">Council will receive notification from IPART </w:t>
      </w:r>
      <w:r w:rsidR="00357A4E" w:rsidRPr="00ED526E">
        <w:rPr>
          <w:rFonts w:cs="Arial"/>
          <w:sz w:val="22"/>
        </w:rPr>
        <w:t>in mid May</w:t>
      </w:r>
      <w:r w:rsidR="001E1A28" w:rsidRPr="00ED526E">
        <w:rPr>
          <w:rFonts w:cs="Arial"/>
          <w:sz w:val="22"/>
        </w:rPr>
        <w:t xml:space="preserve"> </w:t>
      </w:r>
      <w:r w:rsidR="00E12BAB" w:rsidRPr="00ED526E">
        <w:rPr>
          <w:rFonts w:cs="Arial"/>
          <w:sz w:val="22"/>
        </w:rPr>
        <w:t>2015</w:t>
      </w:r>
      <w:r w:rsidRPr="00ED526E">
        <w:rPr>
          <w:rFonts w:cs="Arial"/>
          <w:sz w:val="22"/>
        </w:rPr>
        <w:t xml:space="preserve"> with regard to its decision on the Special Rate Variation.  </w:t>
      </w:r>
    </w:p>
    <w:p w:rsidR="00357A4E" w:rsidRPr="002B0586" w:rsidRDefault="00357A4E" w:rsidP="002B0586">
      <w:pPr>
        <w:pStyle w:val="Heading1"/>
        <w:numPr>
          <w:ilvl w:val="0"/>
          <w:numId w:val="21"/>
        </w:numPr>
        <w:rPr>
          <w:rStyle w:val="Strong"/>
          <w:rFonts w:ascii="Arial" w:hAnsi="Arial" w:cs="Arial"/>
          <w:b/>
          <w:color w:val="31849B" w:themeColor="accent5" w:themeShade="BF"/>
          <w:sz w:val="24"/>
          <w:szCs w:val="24"/>
        </w:rPr>
      </w:pPr>
      <w:bookmarkStart w:id="26" w:name="_Toc408815872"/>
      <w:r w:rsidRPr="002B0586">
        <w:rPr>
          <w:rStyle w:val="Strong"/>
          <w:rFonts w:ascii="Arial" w:hAnsi="Arial" w:cs="Arial"/>
          <w:b/>
          <w:color w:val="31849B" w:themeColor="accent5" w:themeShade="BF"/>
          <w:sz w:val="24"/>
          <w:szCs w:val="24"/>
        </w:rPr>
        <w:t>When will the new special rates be introduced?</w:t>
      </w:r>
      <w:bookmarkEnd w:id="26"/>
    </w:p>
    <w:p w:rsidR="000D206A" w:rsidRPr="00ED526E" w:rsidRDefault="00357A4E" w:rsidP="00ED526E">
      <w:pPr>
        <w:pStyle w:val="ListParagraph"/>
        <w:numPr>
          <w:ilvl w:val="0"/>
          <w:numId w:val="42"/>
        </w:numPr>
        <w:spacing w:after="0"/>
        <w:jc w:val="both"/>
        <w:rPr>
          <w:rFonts w:cs="Arial"/>
          <w:sz w:val="22"/>
        </w:rPr>
      </w:pPr>
      <w:r w:rsidRPr="00ED526E">
        <w:rPr>
          <w:rFonts w:cs="Arial"/>
          <w:sz w:val="22"/>
        </w:rPr>
        <w:t xml:space="preserve">If the special rate variation is approved, the new special rates will apply from 1 July 2015 for </w:t>
      </w:r>
      <w:r w:rsidR="0003179D" w:rsidRPr="00ED526E">
        <w:rPr>
          <w:rFonts w:cs="Arial"/>
          <w:sz w:val="22"/>
        </w:rPr>
        <w:t>the</w:t>
      </w:r>
      <w:r w:rsidRPr="00ED526E">
        <w:rPr>
          <w:rFonts w:cs="Arial"/>
          <w:sz w:val="22"/>
        </w:rPr>
        <w:t xml:space="preserve"> period of </w:t>
      </w:r>
      <w:r w:rsidR="0003179D" w:rsidRPr="00ED526E">
        <w:rPr>
          <w:rFonts w:cs="Arial"/>
          <w:sz w:val="22"/>
        </w:rPr>
        <w:t>the loan</w:t>
      </w:r>
      <w:r w:rsidRPr="00ED526E">
        <w:rPr>
          <w:rFonts w:cs="Arial"/>
          <w:sz w:val="22"/>
        </w:rPr>
        <w:t xml:space="preserve">. </w:t>
      </w:r>
    </w:p>
    <w:p w:rsidR="009C08AF" w:rsidRPr="002B0586" w:rsidRDefault="009C08AF" w:rsidP="002B0586">
      <w:pPr>
        <w:pStyle w:val="Heading1"/>
        <w:numPr>
          <w:ilvl w:val="0"/>
          <w:numId w:val="21"/>
        </w:numPr>
        <w:rPr>
          <w:rStyle w:val="Strong"/>
          <w:rFonts w:ascii="Arial" w:hAnsi="Arial" w:cs="Arial"/>
          <w:b/>
          <w:color w:val="31849B" w:themeColor="accent5" w:themeShade="BF"/>
          <w:sz w:val="24"/>
          <w:szCs w:val="24"/>
        </w:rPr>
      </w:pPr>
      <w:bookmarkStart w:id="27" w:name="_Toc408815873"/>
      <w:r w:rsidRPr="002B0586">
        <w:rPr>
          <w:rStyle w:val="Strong"/>
          <w:rFonts w:ascii="Arial" w:hAnsi="Arial" w:cs="Arial"/>
          <w:b/>
          <w:color w:val="31849B" w:themeColor="accent5" w:themeShade="BF"/>
          <w:sz w:val="24"/>
          <w:szCs w:val="24"/>
        </w:rPr>
        <w:t>Why did Council collect rates if the zoning did not allow the land to be developed and what happened to the rates that were collected?</w:t>
      </w:r>
      <w:bookmarkEnd w:id="27"/>
    </w:p>
    <w:p w:rsidR="009C08AF" w:rsidRPr="00F93DEF" w:rsidRDefault="009C08AF" w:rsidP="002B0586">
      <w:pPr>
        <w:tabs>
          <w:tab w:val="left" w:pos="567"/>
        </w:tabs>
        <w:spacing w:after="0" w:line="240" w:lineRule="auto"/>
        <w:ind w:left="567"/>
        <w:jc w:val="both"/>
        <w:rPr>
          <w:rFonts w:cs="Arial"/>
          <w:sz w:val="22"/>
        </w:rPr>
      </w:pPr>
    </w:p>
    <w:p w:rsidR="009C08AF" w:rsidRPr="00ED526E" w:rsidRDefault="009C08AF" w:rsidP="00ED526E">
      <w:pPr>
        <w:pStyle w:val="ListParagraph"/>
        <w:numPr>
          <w:ilvl w:val="0"/>
          <w:numId w:val="39"/>
        </w:numPr>
        <w:tabs>
          <w:tab w:val="left" w:pos="567"/>
        </w:tabs>
        <w:spacing w:after="0"/>
        <w:jc w:val="both"/>
        <w:rPr>
          <w:rFonts w:cs="Arial"/>
          <w:sz w:val="22"/>
        </w:rPr>
      </w:pPr>
      <w:r w:rsidRPr="002B0586">
        <w:rPr>
          <w:rFonts w:cs="Arial"/>
          <w:sz w:val="22"/>
        </w:rPr>
        <w:t xml:space="preserve">Council is obliged under the Local Government Act (1993) to levy rates on privately owned land which has a rateable land value.  </w:t>
      </w:r>
      <w:r w:rsidRPr="00ED526E">
        <w:rPr>
          <w:rFonts w:cs="Arial"/>
          <w:sz w:val="22"/>
        </w:rPr>
        <w:t xml:space="preserve">Except for special rates, money collected from rates goes towards Council general fund which is used to fund projects, works and services to all residents, landowners and visitors throughout the City. </w:t>
      </w:r>
    </w:p>
    <w:p w:rsidR="009C08AF" w:rsidRPr="00F93DEF" w:rsidRDefault="009C08AF" w:rsidP="002B0586">
      <w:pPr>
        <w:tabs>
          <w:tab w:val="left" w:pos="567"/>
        </w:tabs>
        <w:spacing w:after="0" w:line="240" w:lineRule="auto"/>
        <w:ind w:left="567"/>
        <w:jc w:val="both"/>
        <w:rPr>
          <w:rFonts w:cs="Arial"/>
          <w:sz w:val="22"/>
        </w:rPr>
      </w:pPr>
    </w:p>
    <w:p w:rsidR="002B0586" w:rsidRPr="002B0586" w:rsidRDefault="009C08AF" w:rsidP="002B0586">
      <w:pPr>
        <w:pStyle w:val="ListParagraph"/>
        <w:numPr>
          <w:ilvl w:val="0"/>
          <w:numId w:val="39"/>
        </w:numPr>
        <w:tabs>
          <w:tab w:val="left" w:pos="567"/>
        </w:tabs>
        <w:spacing w:after="0"/>
        <w:jc w:val="both"/>
        <w:rPr>
          <w:rFonts w:cs="Arial"/>
          <w:sz w:val="22"/>
        </w:rPr>
      </w:pPr>
      <w:r w:rsidRPr="002B0586">
        <w:rPr>
          <w:rFonts w:cs="Arial"/>
          <w:sz w:val="22"/>
        </w:rPr>
        <w:t xml:space="preserve">Special rates are collected for a specific purpose and do not go into general revenue.  </w:t>
      </w:r>
    </w:p>
    <w:p w:rsidR="002B0586" w:rsidRDefault="002B0586" w:rsidP="002B0586">
      <w:pPr>
        <w:tabs>
          <w:tab w:val="left" w:pos="567"/>
        </w:tabs>
        <w:spacing w:after="0"/>
        <w:ind w:left="567"/>
        <w:jc w:val="both"/>
        <w:rPr>
          <w:rFonts w:cs="Arial"/>
          <w:sz w:val="22"/>
        </w:rPr>
      </w:pPr>
    </w:p>
    <w:p w:rsidR="002B0586" w:rsidRPr="002B0586" w:rsidRDefault="009C08AF" w:rsidP="002B0586">
      <w:pPr>
        <w:pStyle w:val="ListParagraph"/>
        <w:numPr>
          <w:ilvl w:val="0"/>
          <w:numId w:val="39"/>
        </w:numPr>
        <w:tabs>
          <w:tab w:val="left" w:pos="567"/>
        </w:tabs>
        <w:spacing w:after="0"/>
        <w:jc w:val="both"/>
        <w:rPr>
          <w:rFonts w:cs="Arial"/>
          <w:sz w:val="22"/>
        </w:rPr>
      </w:pPr>
      <w:r w:rsidRPr="002B0586">
        <w:rPr>
          <w:rFonts w:cs="Arial"/>
          <w:sz w:val="22"/>
        </w:rPr>
        <w:t xml:space="preserve">The money collected from the </w:t>
      </w:r>
      <w:proofErr w:type="spellStart"/>
      <w:r w:rsidRPr="002B0586">
        <w:rPr>
          <w:rFonts w:cs="Arial"/>
          <w:sz w:val="22"/>
        </w:rPr>
        <w:t>Jerberra</w:t>
      </w:r>
      <w:proofErr w:type="spellEnd"/>
      <w:r w:rsidRPr="002B0586">
        <w:rPr>
          <w:rFonts w:cs="Arial"/>
          <w:sz w:val="22"/>
        </w:rPr>
        <w:t xml:space="preserve"> Estate special rates has only been spent on </w:t>
      </w:r>
      <w:proofErr w:type="spellStart"/>
      <w:r w:rsidRPr="002B0586">
        <w:rPr>
          <w:rFonts w:cs="Arial"/>
          <w:sz w:val="22"/>
        </w:rPr>
        <w:t>Jerberra</w:t>
      </w:r>
      <w:proofErr w:type="spellEnd"/>
      <w:r w:rsidRPr="002B0586">
        <w:rPr>
          <w:rFonts w:cs="Arial"/>
          <w:sz w:val="22"/>
        </w:rPr>
        <w:t xml:space="preserve"> Estate and any unspent funds from these will go towards the delivery of infrastructure for the Estate.  </w:t>
      </w:r>
    </w:p>
    <w:p w:rsidR="002B0586" w:rsidRDefault="002B0586" w:rsidP="002B0586">
      <w:pPr>
        <w:tabs>
          <w:tab w:val="left" w:pos="567"/>
        </w:tabs>
        <w:spacing w:after="0"/>
        <w:ind w:left="567"/>
        <w:jc w:val="both"/>
        <w:rPr>
          <w:rFonts w:cs="Arial"/>
          <w:sz w:val="22"/>
        </w:rPr>
      </w:pPr>
    </w:p>
    <w:p w:rsidR="009C08AF" w:rsidRPr="00ED526E" w:rsidRDefault="009C08AF" w:rsidP="00ED526E">
      <w:pPr>
        <w:pStyle w:val="ListParagraph"/>
        <w:numPr>
          <w:ilvl w:val="0"/>
          <w:numId w:val="39"/>
        </w:numPr>
        <w:tabs>
          <w:tab w:val="left" w:pos="567"/>
        </w:tabs>
        <w:spacing w:after="0"/>
        <w:jc w:val="both"/>
        <w:rPr>
          <w:rFonts w:cs="Arial"/>
          <w:sz w:val="22"/>
        </w:rPr>
      </w:pPr>
      <w:r w:rsidRPr="002B0586">
        <w:rPr>
          <w:rFonts w:cs="Arial"/>
          <w:sz w:val="22"/>
        </w:rPr>
        <w:t xml:space="preserve">Currently, there are two different special rate levies that apply to most of the properties in </w:t>
      </w:r>
      <w:proofErr w:type="spellStart"/>
      <w:r w:rsidRPr="002B0586">
        <w:rPr>
          <w:rFonts w:cs="Arial"/>
          <w:sz w:val="22"/>
        </w:rPr>
        <w:t>Jerberra</w:t>
      </w:r>
      <w:proofErr w:type="spellEnd"/>
      <w:r w:rsidRPr="002B0586">
        <w:rPr>
          <w:rFonts w:cs="Arial"/>
          <w:sz w:val="22"/>
        </w:rPr>
        <w:t xml:space="preserve"> Estate:</w:t>
      </w:r>
    </w:p>
    <w:p w:rsidR="009C08AF" w:rsidRPr="00F93DEF" w:rsidRDefault="009C08AF" w:rsidP="002B0586">
      <w:pPr>
        <w:pStyle w:val="ListParagraph"/>
        <w:numPr>
          <w:ilvl w:val="0"/>
          <w:numId w:val="1"/>
        </w:numPr>
        <w:tabs>
          <w:tab w:val="left" w:pos="1134"/>
        </w:tabs>
        <w:spacing w:after="0"/>
        <w:ind w:left="1854" w:hanging="567"/>
        <w:jc w:val="both"/>
        <w:rPr>
          <w:rFonts w:cs="Arial"/>
          <w:sz w:val="22"/>
        </w:rPr>
      </w:pPr>
      <w:r w:rsidRPr="00F93DEF">
        <w:rPr>
          <w:rFonts w:cs="Arial"/>
          <w:b/>
          <w:sz w:val="22"/>
        </w:rPr>
        <w:t>Rezoning and road design special rates</w:t>
      </w:r>
      <w:r w:rsidRPr="00F93DEF">
        <w:rPr>
          <w:rFonts w:cs="Arial"/>
          <w:sz w:val="22"/>
        </w:rPr>
        <w:t xml:space="preserve">: these were introduced on 1/7/2006 to repay fixed term (10 years) loans taken out by Council. These special rates will cease on 30/6/2016.  </w:t>
      </w:r>
    </w:p>
    <w:p w:rsidR="009C08AF" w:rsidRPr="00F93DEF" w:rsidRDefault="009C08AF" w:rsidP="002B0586">
      <w:pPr>
        <w:pStyle w:val="ListParagraph"/>
        <w:numPr>
          <w:ilvl w:val="0"/>
          <w:numId w:val="1"/>
        </w:numPr>
        <w:tabs>
          <w:tab w:val="left" w:pos="1134"/>
        </w:tabs>
        <w:spacing w:after="0"/>
        <w:ind w:left="1854" w:hanging="567"/>
        <w:jc w:val="both"/>
        <w:rPr>
          <w:rFonts w:cs="Arial"/>
          <w:sz w:val="22"/>
        </w:rPr>
      </w:pPr>
      <w:r w:rsidRPr="00F93DEF">
        <w:rPr>
          <w:rFonts w:cs="Arial"/>
          <w:b/>
          <w:sz w:val="22"/>
        </w:rPr>
        <w:t>Road construction special rate</w:t>
      </w:r>
      <w:r w:rsidRPr="00F93DEF">
        <w:rPr>
          <w:rFonts w:cs="Arial"/>
          <w:sz w:val="22"/>
        </w:rPr>
        <w:t xml:space="preserve">: This was introduced on 1/7/2008 (at landowners’ request) to allow construction of the gravel ‘spinal route’ road.  This special rate will be replaced by a new ‘infrastructure’ special rate.  </w:t>
      </w:r>
    </w:p>
    <w:p w:rsidR="009C08AF" w:rsidRPr="00F93DEF" w:rsidRDefault="009C08AF" w:rsidP="002B0586">
      <w:pPr>
        <w:spacing w:after="0" w:line="240" w:lineRule="auto"/>
        <w:ind w:left="1287"/>
        <w:jc w:val="both"/>
        <w:rPr>
          <w:rFonts w:cs="Arial"/>
          <w:sz w:val="22"/>
        </w:rPr>
      </w:pPr>
    </w:p>
    <w:p w:rsidR="009C08AF" w:rsidRPr="00F93DEF" w:rsidRDefault="009C08AF" w:rsidP="002B0586">
      <w:pPr>
        <w:spacing w:after="0"/>
        <w:ind w:left="567"/>
        <w:jc w:val="both"/>
        <w:rPr>
          <w:rFonts w:cs="Arial"/>
          <w:sz w:val="22"/>
        </w:rPr>
      </w:pPr>
      <w:r w:rsidRPr="00F93DEF">
        <w:rPr>
          <w:rFonts w:cs="Arial"/>
          <w:sz w:val="22"/>
        </w:rPr>
        <w:t>Income and expenditure for each of these is updated quarterly on Council’s website at:</w:t>
      </w:r>
    </w:p>
    <w:p w:rsidR="00ED526E" w:rsidRDefault="004B0AD7" w:rsidP="002B0586">
      <w:pPr>
        <w:spacing w:after="0"/>
        <w:ind w:left="567"/>
        <w:jc w:val="both"/>
        <w:rPr>
          <w:rFonts w:cs="Arial"/>
          <w:sz w:val="22"/>
        </w:rPr>
      </w:pPr>
      <w:hyperlink r:id="rId12" w:history="1">
        <w:r w:rsidR="00ED526E" w:rsidRPr="00E86C18">
          <w:rPr>
            <w:rStyle w:val="Hyperlink"/>
            <w:rFonts w:cs="Arial"/>
            <w:sz w:val="22"/>
          </w:rPr>
          <w:t>http://shoalhaven.nsw.gov.au/Planningamp;Building/Strategicplanning/Papersubdivisions.aspx</w:t>
        </w:r>
      </w:hyperlink>
      <w:r w:rsidR="00ED526E">
        <w:rPr>
          <w:rFonts w:cs="Arial"/>
          <w:sz w:val="22"/>
        </w:rPr>
        <w:t xml:space="preserve">. </w:t>
      </w:r>
    </w:p>
    <w:p w:rsidR="00484A09" w:rsidRPr="00F93DEF" w:rsidRDefault="00DD5E19" w:rsidP="00ED526E">
      <w:pPr>
        <w:spacing w:after="0"/>
        <w:ind w:left="567"/>
        <w:jc w:val="both"/>
        <w:rPr>
          <w:rFonts w:cs="Arial"/>
          <w:sz w:val="22"/>
        </w:rPr>
      </w:pPr>
      <w:r w:rsidRPr="00F93DEF">
        <w:rPr>
          <w:rFonts w:cs="Arial"/>
          <w:sz w:val="22"/>
        </w:rPr>
        <w:t>Any unspent funds from the existing special rates will be transferred into the</w:t>
      </w:r>
      <w:r w:rsidR="009436CF" w:rsidRPr="00F93DEF">
        <w:rPr>
          <w:rFonts w:cs="Arial"/>
          <w:sz w:val="22"/>
        </w:rPr>
        <w:t xml:space="preserve"> </w:t>
      </w:r>
      <w:proofErr w:type="spellStart"/>
      <w:r w:rsidR="009436CF" w:rsidRPr="00F93DEF">
        <w:rPr>
          <w:rFonts w:cs="Arial"/>
          <w:sz w:val="22"/>
        </w:rPr>
        <w:t>Jerberra</w:t>
      </w:r>
      <w:proofErr w:type="spellEnd"/>
      <w:r w:rsidR="009436CF" w:rsidRPr="00F93DEF">
        <w:rPr>
          <w:rFonts w:cs="Arial"/>
          <w:sz w:val="22"/>
        </w:rPr>
        <w:t xml:space="preserve"> Estate infrastructure budget.</w:t>
      </w:r>
    </w:p>
    <w:sectPr w:rsidR="00484A09" w:rsidRPr="00F93DEF" w:rsidSect="0002199B">
      <w:footerReference w:type="default" r:id="rId13"/>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27A" w:rsidRDefault="00CF527A" w:rsidP="002B05AA">
      <w:pPr>
        <w:spacing w:after="0" w:line="240" w:lineRule="auto"/>
      </w:pPr>
      <w:r>
        <w:separator/>
      </w:r>
    </w:p>
  </w:endnote>
  <w:endnote w:type="continuationSeparator" w:id="0">
    <w:p w:rsidR="00CF527A" w:rsidRDefault="00CF527A" w:rsidP="002B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569813"/>
      <w:docPartObj>
        <w:docPartGallery w:val="Page Numbers (Bottom of Page)"/>
        <w:docPartUnique/>
      </w:docPartObj>
    </w:sdtPr>
    <w:sdtEndPr/>
    <w:sdtContent>
      <w:sdt>
        <w:sdtPr>
          <w:id w:val="860082579"/>
          <w:docPartObj>
            <w:docPartGallery w:val="Page Numbers (Top of Page)"/>
            <w:docPartUnique/>
          </w:docPartObj>
        </w:sdtPr>
        <w:sdtEndPr/>
        <w:sdtContent>
          <w:p w:rsidR="002A3A36" w:rsidRDefault="002A3A3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B0AD7">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B0AD7">
              <w:rPr>
                <w:b/>
                <w:bCs/>
                <w:noProof/>
              </w:rPr>
              <w:t>6</w:t>
            </w:r>
            <w:r>
              <w:rPr>
                <w:b/>
                <w:bCs/>
                <w:szCs w:val="24"/>
              </w:rPr>
              <w:fldChar w:fldCharType="end"/>
            </w:r>
          </w:p>
        </w:sdtContent>
      </w:sdt>
    </w:sdtContent>
  </w:sdt>
  <w:p w:rsidR="002A3A36" w:rsidRDefault="002A3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27A" w:rsidRDefault="00CF527A" w:rsidP="002B05AA">
      <w:pPr>
        <w:spacing w:after="0" w:line="240" w:lineRule="auto"/>
      </w:pPr>
      <w:r>
        <w:separator/>
      </w:r>
    </w:p>
  </w:footnote>
  <w:footnote w:type="continuationSeparator" w:id="0">
    <w:p w:rsidR="00CF527A" w:rsidRDefault="00CF527A" w:rsidP="002B0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B56"/>
    <w:multiLevelType w:val="hybridMultilevel"/>
    <w:tmpl w:val="E188E2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BD4C0C"/>
    <w:multiLevelType w:val="hybridMultilevel"/>
    <w:tmpl w:val="50369A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ED0A17"/>
    <w:multiLevelType w:val="hybridMultilevel"/>
    <w:tmpl w:val="8586CE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30F0491"/>
    <w:multiLevelType w:val="hybridMultilevel"/>
    <w:tmpl w:val="AD8C657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0A783EA9"/>
    <w:multiLevelType w:val="hybridMultilevel"/>
    <w:tmpl w:val="4F4472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BED40A8"/>
    <w:multiLevelType w:val="hybridMultilevel"/>
    <w:tmpl w:val="38740E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3D223C5"/>
    <w:multiLevelType w:val="hybridMultilevel"/>
    <w:tmpl w:val="1896A8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5546C2C"/>
    <w:multiLevelType w:val="hybridMultilevel"/>
    <w:tmpl w:val="2BA496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1777549D"/>
    <w:multiLevelType w:val="hybridMultilevel"/>
    <w:tmpl w:val="864A66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913311A"/>
    <w:multiLevelType w:val="hybridMultilevel"/>
    <w:tmpl w:val="D388C9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B3F7BA4"/>
    <w:multiLevelType w:val="hybridMultilevel"/>
    <w:tmpl w:val="689C9A1A"/>
    <w:lvl w:ilvl="0" w:tplc="0C09000F">
      <w:start w:val="1"/>
      <w:numFmt w:val="decimal"/>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1C2F7D1E"/>
    <w:multiLevelType w:val="hybridMultilevel"/>
    <w:tmpl w:val="833400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EAF4F78"/>
    <w:multiLevelType w:val="hybridMultilevel"/>
    <w:tmpl w:val="C4602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1F970885"/>
    <w:multiLevelType w:val="hybridMultilevel"/>
    <w:tmpl w:val="F99C8C2C"/>
    <w:lvl w:ilvl="0" w:tplc="D3889F0C">
      <w:start w:val="21"/>
      <w:numFmt w:val="decimal"/>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E729BB"/>
    <w:multiLevelType w:val="hybridMultilevel"/>
    <w:tmpl w:val="5B4AA5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EB75B94"/>
    <w:multiLevelType w:val="hybridMultilevel"/>
    <w:tmpl w:val="05749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2018CB"/>
    <w:multiLevelType w:val="hybridMultilevel"/>
    <w:tmpl w:val="C66C924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30170D71"/>
    <w:multiLevelType w:val="hybridMultilevel"/>
    <w:tmpl w:val="C672B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5A65906"/>
    <w:multiLevelType w:val="hybridMultilevel"/>
    <w:tmpl w:val="E2FEC4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6EC49F6"/>
    <w:multiLevelType w:val="hybridMultilevel"/>
    <w:tmpl w:val="5C0E14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38833167"/>
    <w:multiLevelType w:val="hybridMultilevel"/>
    <w:tmpl w:val="D1CE47C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39453D1F"/>
    <w:multiLevelType w:val="hybridMultilevel"/>
    <w:tmpl w:val="03A418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C281C87"/>
    <w:multiLevelType w:val="hybridMultilevel"/>
    <w:tmpl w:val="5D8A03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0524F92"/>
    <w:multiLevelType w:val="hybridMultilevel"/>
    <w:tmpl w:val="6D6E9272"/>
    <w:lvl w:ilvl="0" w:tplc="258A9E2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415D451B"/>
    <w:multiLevelType w:val="hybridMultilevel"/>
    <w:tmpl w:val="7792B9FC"/>
    <w:lvl w:ilvl="0" w:tplc="7F02FB7C">
      <w:start w:val="1"/>
      <w:numFmt w:val="lowerLetter"/>
      <w:lvlText w:val="(%1)"/>
      <w:lvlJc w:val="left"/>
      <w:pPr>
        <w:ind w:left="957" w:hanging="39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42E74737"/>
    <w:multiLevelType w:val="hybridMultilevel"/>
    <w:tmpl w:val="F8B629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9ED491C"/>
    <w:multiLevelType w:val="hybridMultilevel"/>
    <w:tmpl w:val="01822D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4B205D25"/>
    <w:multiLevelType w:val="hybridMultilevel"/>
    <w:tmpl w:val="C24449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4F890B41"/>
    <w:multiLevelType w:val="hybridMultilevel"/>
    <w:tmpl w:val="C6EA9CCC"/>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9">
    <w:nsid w:val="5020118B"/>
    <w:multiLevelType w:val="hybridMultilevel"/>
    <w:tmpl w:val="BF5E2556"/>
    <w:lvl w:ilvl="0" w:tplc="F6A81A8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166D15"/>
    <w:multiLevelType w:val="hybridMultilevel"/>
    <w:tmpl w:val="0944C7B6"/>
    <w:lvl w:ilvl="0" w:tplc="4F3C2DE2">
      <w:start w:val="5"/>
      <w:numFmt w:val="decimal"/>
      <w:lvlText w:val="%1."/>
      <w:lvlJc w:val="left"/>
      <w:pPr>
        <w:ind w:left="12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2A00439"/>
    <w:multiLevelType w:val="hybridMultilevel"/>
    <w:tmpl w:val="44EA2B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47E1B1D"/>
    <w:multiLevelType w:val="hybridMultilevel"/>
    <w:tmpl w:val="A0185C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5DC221F4"/>
    <w:multiLevelType w:val="hybridMultilevel"/>
    <w:tmpl w:val="A2480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75045D"/>
    <w:multiLevelType w:val="hybridMultilevel"/>
    <w:tmpl w:val="2512A74A"/>
    <w:lvl w:ilvl="0" w:tplc="7F02FB7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nsid w:val="705E1347"/>
    <w:multiLevelType w:val="hybridMultilevel"/>
    <w:tmpl w:val="4F5853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34B5AD8"/>
    <w:multiLevelType w:val="hybridMultilevel"/>
    <w:tmpl w:val="AA9EE1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4D31DD8"/>
    <w:multiLevelType w:val="hybridMultilevel"/>
    <w:tmpl w:val="51EC5A3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nsid w:val="788B4BD4"/>
    <w:multiLevelType w:val="hybridMultilevel"/>
    <w:tmpl w:val="446C442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7CAC1415"/>
    <w:multiLevelType w:val="hybridMultilevel"/>
    <w:tmpl w:val="1C347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D559F3"/>
    <w:multiLevelType w:val="hybridMultilevel"/>
    <w:tmpl w:val="246A8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D754ADC"/>
    <w:multiLevelType w:val="hybridMultilevel"/>
    <w:tmpl w:val="57B07F3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29"/>
  </w:num>
  <w:num w:numId="3">
    <w:abstractNumId w:val="28"/>
  </w:num>
  <w:num w:numId="4">
    <w:abstractNumId w:val="30"/>
  </w:num>
  <w:num w:numId="5">
    <w:abstractNumId w:val="13"/>
  </w:num>
  <w:num w:numId="6">
    <w:abstractNumId w:val="10"/>
  </w:num>
  <w:num w:numId="7">
    <w:abstractNumId w:val="0"/>
  </w:num>
  <w:num w:numId="8">
    <w:abstractNumId w:val="16"/>
  </w:num>
  <w:num w:numId="9">
    <w:abstractNumId w:val="20"/>
  </w:num>
  <w:num w:numId="10">
    <w:abstractNumId w:val="12"/>
  </w:num>
  <w:num w:numId="11">
    <w:abstractNumId w:val="38"/>
  </w:num>
  <w:num w:numId="12">
    <w:abstractNumId w:val="15"/>
  </w:num>
  <w:num w:numId="13">
    <w:abstractNumId w:val="33"/>
  </w:num>
  <w:num w:numId="14">
    <w:abstractNumId w:val="23"/>
  </w:num>
  <w:num w:numId="15">
    <w:abstractNumId w:val="3"/>
  </w:num>
  <w:num w:numId="16">
    <w:abstractNumId w:val="24"/>
  </w:num>
  <w:num w:numId="17">
    <w:abstractNumId w:val="34"/>
  </w:num>
  <w:num w:numId="18">
    <w:abstractNumId w:val="19"/>
  </w:num>
  <w:num w:numId="19">
    <w:abstractNumId w:val="32"/>
  </w:num>
  <w:num w:numId="20">
    <w:abstractNumId w:val="26"/>
  </w:num>
  <w:num w:numId="21">
    <w:abstractNumId w:val="41"/>
  </w:num>
  <w:num w:numId="22">
    <w:abstractNumId w:val="14"/>
  </w:num>
  <w:num w:numId="23">
    <w:abstractNumId w:val="17"/>
  </w:num>
  <w:num w:numId="24">
    <w:abstractNumId w:val="8"/>
  </w:num>
  <w:num w:numId="25">
    <w:abstractNumId w:val="4"/>
  </w:num>
  <w:num w:numId="26">
    <w:abstractNumId w:val="5"/>
  </w:num>
  <w:num w:numId="27">
    <w:abstractNumId w:val="31"/>
  </w:num>
  <w:num w:numId="28">
    <w:abstractNumId w:val="35"/>
  </w:num>
  <w:num w:numId="29">
    <w:abstractNumId w:val="21"/>
  </w:num>
  <w:num w:numId="30">
    <w:abstractNumId w:val="18"/>
  </w:num>
  <w:num w:numId="31">
    <w:abstractNumId w:val="37"/>
  </w:num>
  <w:num w:numId="32">
    <w:abstractNumId w:val="36"/>
  </w:num>
  <w:num w:numId="33">
    <w:abstractNumId w:val="40"/>
  </w:num>
  <w:num w:numId="34">
    <w:abstractNumId w:val="2"/>
  </w:num>
  <w:num w:numId="35">
    <w:abstractNumId w:val="9"/>
  </w:num>
  <w:num w:numId="36">
    <w:abstractNumId w:val="25"/>
  </w:num>
  <w:num w:numId="37">
    <w:abstractNumId w:val="22"/>
  </w:num>
  <w:num w:numId="38">
    <w:abstractNumId w:val="11"/>
  </w:num>
  <w:num w:numId="39">
    <w:abstractNumId w:val="27"/>
  </w:num>
  <w:num w:numId="40">
    <w:abstractNumId w:val="7"/>
  </w:num>
  <w:num w:numId="41">
    <w:abstractNumId w:val="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AA"/>
    <w:rsid w:val="00000C1E"/>
    <w:rsid w:val="000048FE"/>
    <w:rsid w:val="00021810"/>
    <w:rsid w:val="0002199B"/>
    <w:rsid w:val="0003179D"/>
    <w:rsid w:val="000425C2"/>
    <w:rsid w:val="00070301"/>
    <w:rsid w:val="00071C2A"/>
    <w:rsid w:val="000727B0"/>
    <w:rsid w:val="00082CBA"/>
    <w:rsid w:val="00097165"/>
    <w:rsid w:val="000B61CA"/>
    <w:rsid w:val="000C355F"/>
    <w:rsid w:val="000C7E74"/>
    <w:rsid w:val="000D206A"/>
    <w:rsid w:val="000E0494"/>
    <w:rsid w:val="000E17F7"/>
    <w:rsid w:val="000F464D"/>
    <w:rsid w:val="000F6DF3"/>
    <w:rsid w:val="00121C7F"/>
    <w:rsid w:val="00137FF1"/>
    <w:rsid w:val="00141CF5"/>
    <w:rsid w:val="00146701"/>
    <w:rsid w:val="00160371"/>
    <w:rsid w:val="00166FCF"/>
    <w:rsid w:val="00175674"/>
    <w:rsid w:val="00186313"/>
    <w:rsid w:val="00190503"/>
    <w:rsid w:val="00190BA9"/>
    <w:rsid w:val="001D1DDB"/>
    <w:rsid w:val="001E1A28"/>
    <w:rsid w:val="001F216C"/>
    <w:rsid w:val="002079B8"/>
    <w:rsid w:val="002252EF"/>
    <w:rsid w:val="00247EEE"/>
    <w:rsid w:val="00251E74"/>
    <w:rsid w:val="00255710"/>
    <w:rsid w:val="00256E45"/>
    <w:rsid w:val="0027248B"/>
    <w:rsid w:val="00274367"/>
    <w:rsid w:val="002A3A36"/>
    <w:rsid w:val="002B0586"/>
    <w:rsid w:val="002B05AA"/>
    <w:rsid w:val="002C1761"/>
    <w:rsid w:val="002C1883"/>
    <w:rsid w:val="0030792B"/>
    <w:rsid w:val="00331769"/>
    <w:rsid w:val="00342592"/>
    <w:rsid w:val="00357A4E"/>
    <w:rsid w:val="003629AC"/>
    <w:rsid w:val="00371D1C"/>
    <w:rsid w:val="003737D8"/>
    <w:rsid w:val="00373B90"/>
    <w:rsid w:val="00397691"/>
    <w:rsid w:val="003A73FB"/>
    <w:rsid w:val="003C14BB"/>
    <w:rsid w:val="003D4245"/>
    <w:rsid w:val="003E0F1B"/>
    <w:rsid w:val="003E3221"/>
    <w:rsid w:val="003F59C4"/>
    <w:rsid w:val="003F7D79"/>
    <w:rsid w:val="00406C4D"/>
    <w:rsid w:val="004140FB"/>
    <w:rsid w:val="00414BA4"/>
    <w:rsid w:val="00420F6B"/>
    <w:rsid w:val="00425115"/>
    <w:rsid w:val="00441174"/>
    <w:rsid w:val="0044748B"/>
    <w:rsid w:val="004753BC"/>
    <w:rsid w:val="00484A09"/>
    <w:rsid w:val="00485340"/>
    <w:rsid w:val="0049514D"/>
    <w:rsid w:val="004A00E7"/>
    <w:rsid w:val="004A7D20"/>
    <w:rsid w:val="004B0AD7"/>
    <w:rsid w:val="004B1E8B"/>
    <w:rsid w:val="004C5691"/>
    <w:rsid w:val="004D55AF"/>
    <w:rsid w:val="0052244E"/>
    <w:rsid w:val="00523934"/>
    <w:rsid w:val="00544D85"/>
    <w:rsid w:val="005521A6"/>
    <w:rsid w:val="00556F2A"/>
    <w:rsid w:val="005713D5"/>
    <w:rsid w:val="00572B01"/>
    <w:rsid w:val="00572C4C"/>
    <w:rsid w:val="00596F57"/>
    <w:rsid w:val="005A78E7"/>
    <w:rsid w:val="005C37B7"/>
    <w:rsid w:val="005D0E6D"/>
    <w:rsid w:val="005D17C4"/>
    <w:rsid w:val="005D5F4D"/>
    <w:rsid w:val="005E4CE2"/>
    <w:rsid w:val="005F16AA"/>
    <w:rsid w:val="005F52A9"/>
    <w:rsid w:val="00616E08"/>
    <w:rsid w:val="006224FB"/>
    <w:rsid w:val="00634AAA"/>
    <w:rsid w:val="00635169"/>
    <w:rsid w:val="006531DD"/>
    <w:rsid w:val="006563EC"/>
    <w:rsid w:val="00663655"/>
    <w:rsid w:val="00664745"/>
    <w:rsid w:val="00685CD9"/>
    <w:rsid w:val="006A2BDC"/>
    <w:rsid w:val="006A6170"/>
    <w:rsid w:val="006C3259"/>
    <w:rsid w:val="006C63C0"/>
    <w:rsid w:val="006E7B0D"/>
    <w:rsid w:val="00711514"/>
    <w:rsid w:val="00714181"/>
    <w:rsid w:val="007320BB"/>
    <w:rsid w:val="0075529B"/>
    <w:rsid w:val="00776FD4"/>
    <w:rsid w:val="007A155C"/>
    <w:rsid w:val="007A5714"/>
    <w:rsid w:val="007B3CED"/>
    <w:rsid w:val="007B52CE"/>
    <w:rsid w:val="007B7CC1"/>
    <w:rsid w:val="007E5BF8"/>
    <w:rsid w:val="0080437A"/>
    <w:rsid w:val="00820F8E"/>
    <w:rsid w:val="00821C47"/>
    <w:rsid w:val="00825B10"/>
    <w:rsid w:val="008304CE"/>
    <w:rsid w:val="008314E5"/>
    <w:rsid w:val="008375FF"/>
    <w:rsid w:val="00842E37"/>
    <w:rsid w:val="00845D25"/>
    <w:rsid w:val="00875826"/>
    <w:rsid w:val="00880611"/>
    <w:rsid w:val="0089457A"/>
    <w:rsid w:val="008E3AAD"/>
    <w:rsid w:val="00904FA7"/>
    <w:rsid w:val="00906B97"/>
    <w:rsid w:val="00910B78"/>
    <w:rsid w:val="00913A3F"/>
    <w:rsid w:val="009436CF"/>
    <w:rsid w:val="00951F88"/>
    <w:rsid w:val="0095345D"/>
    <w:rsid w:val="0096157A"/>
    <w:rsid w:val="009636A5"/>
    <w:rsid w:val="009659CB"/>
    <w:rsid w:val="00971F49"/>
    <w:rsid w:val="0099768F"/>
    <w:rsid w:val="009A6A16"/>
    <w:rsid w:val="009B7222"/>
    <w:rsid w:val="009C0208"/>
    <w:rsid w:val="009C08AF"/>
    <w:rsid w:val="009C6116"/>
    <w:rsid w:val="009C6A3C"/>
    <w:rsid w:val="009D2666"/>
    <w:rsid w:val="009F38E4"/>
    <w:rsid w:val="009F4BFC"/>
    <w:rsid w:val="00A26BC4"/>
    <w:rsid w:val="00A33D28"/>
    <w:rsid w:val="00A346DD"/>
    <w:rsid w:val="00A41350"/>
    <w:rsid w:val="00A5485B"/>
    <w:rsid w:val="00A558BE"/>
    <w:rsid w:val="00A60EB8"/>
    <w:rsid w:val="00A70DD7"/>
    <w:rsid w:val="00A7196C"/>
    <w:rsid w:val="00A816F6"/>
    <w:rsid w:val="00A86084"/>
    <w:rsid w:val="00A95FEE"/>
    <w:rsid w:val="00A96C71"/>
    <w:rsid w:val="00AA5198"/>
    <w:rsid w:val="00AB3774"/>
    <w:rsid w:val="00AC295C"/>
    <w:rsid w:val="00AD6103"/>
    <w:rsid w:val="00AF58C1"/>
    <w:rsid w:val="00B14CF4"/>
    <w:rsid w:val="00B26757"/>
    <w:rsid w:val="00B50471"/>
    <w:rsid w:val="00B52F47"/>
    <w:rsid w:val="00B87AE7"/>
    <w:rsid w:val="00BA32C2"/>
    <w:rsid w:val="00BB1FB8"/>
    <w:rsid w:val="00BF2219"/>
    <w:rsid w:val="00BF35EA"/>
    <w:rsid w:val="00BF46BD"/>
    <w:rsid w:val="00BF5817"/>
    <w:rsid w:val="00C20DA0"/>
    <w:rsid w:val="00C21D22"/>
    <w:rsid w:val="00C22E83"/>
    <w:rsid w:val="00C27AF6"/>
    <w:rsid w:val="00C40F21"/>
    <w:rsid w:val="00C43CCD"/>
    <w:rsid w:val="00C545DC"/>
    <w:rsid w:val="00C5658D"/>
    <w:rsid w:val="00C60ED7"/>
    <w:rsid w:val="00C623A3"/>
    <w:rsid w:val="00C805BF"/>
    <w:rsid w:val="00C84B5D"/>
    <w:rsid w:val="00C8639B"/>
    <w:rsid w:val="00C96984"/>
    <w:rsid w:val="00CA3DE0"/>
    <w:rsid w:val="00CB2BE9"/>
    <w:rsid w:val="00CE3BB6"/>
    <w:rsid w:val="00CE4C29"/>
    <w:rsid w:val="00CF1AF0"/>
    <w:rsid w:val="00CF527A"/>
    <w:rsid w:val="00D13A66"/>
    <w:rsid w:val="00D15392"/>
    <w:rsid w:val="00D22AA6"/>
    <w:rsid w:val="00D26D6E"/>
    <w:rsid w:val="00D31B8F"/>
    <w:rsid w:val="00D33415"/>
    <w:rsid w:val="00D36102"/>
    <w:rsid w:val="00D74028"/>
    <w:rsid w:val="00D74815"/>
    <w:rsid w:val="00D82519"/>
    <w:rsid w:val="00D92EF7"/>
    <w:rsid w:val="00D9538A"/>
    <w:rsid w:val="00DA02F9"/>
    <w:rsid w:val="00DA32F7"/>
    <w:rsid w:val="00DD5E19"/>
    <w:rsid w:val="00DF191C"/>
    <w:rsid w:val="00E12BAB"/>
    <w:rsid w:val="00E658A4"/>
    <w:rsid w:val="00EB577B"/>
    <w:rsid w:val="00EC4730"/>
    <w:rsid w:val="00ED526E"/>
    <w:rsid w:val="00EE4991"/>
    <w:rsid w:val="00EF24BA"/>
    <w:rsid w:val="00EF6966"/>
    <w:rsid w:val="00EF6B37"/>
    <w:rsid w:val="00EF799E"/>
    <w:rsid w:val="00EF7AA1"/>
    <w:rsid w:val="00F27CC3"/>
    <w:rsid w:val="00F30414"/>
    <w:rsid w:val="00F76AB8"/>
    <w:rsid w:val="00F76F2D"/>
    <w:rsid w:val="00F837D7"/>
    <w:rsid w:val="00F84C53"/>
    <w:rsid w:val="00F93DEF"/>
    <w:rsid w:val="00F955C7"/>
    <w:rsid w:val="00FA057C"/>
    <w:rsid w:val="00FA78AC"/>
    <w:rsid w:val="00FB19F1"/>
    <w:rsid w:val="00FC49B5"/>
    <w:rsid w:val="00FF2DC2"/>
    <w:rsid w:val="00FF34B5"/>
    <w:rsid w:val="00FF6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BC"/>
    <w:rPr>
      <w:rFonts w:ascii="Tahoma" w:hAnsi="Tahoma" w:cs="Tahoma"/>
      <w:sz w:val="16"/>
      <w:szCs w:val="16"/>
    </w:rPr>
  </w:style>
  <w:style w:type="character" w:styleId="CommentReference">
    <w:name w:val="annotation reference"/>
    <w:basedOn w:val="DefaultParagraphFont"/>
    <w:uiPriority w:val="99"/>
    <w:semiHidden/>
    <w:unhideWhenUsed/>
    <w:rsid w:val="006C63C0"/>
    <w:rPr>
      <w:sz w:val="16"/>
      <w:szCs w:val="16"/>
    </w:rPr>
  </w:style>
  <w:style w:type="paragraph" w:styleId="CommentText">
    <w:name w:val="annotation text"/>
    <w:basedOn w:val="Normal"/>
    <w:link w:val="CommentTextChar"/>
    <w:uiPriority w:val="99"/>
    <w:semiHidden/>
    <w:unhideWhenUsed/>
    <w:rsid w:val="006C63C0"/>
    <w:pPr>
      <w:spacing w:line="240" w:lineRule="auto"/>
    </w:pPr>
    <w:rPr>
      <w:sz w:val="20"/>
      <w:szCs w:val="20"/>
    </w:rPr>
  </w:style>
  <w:style w:type="character" w:customStyle="1" w:styleId="CommentTextChar">
    <w:name w:val="Comment Text Char"/>
    <w:basedOn w:val="DefaultParagraphFont"/>
    <w:link w:val="CommentText"/>
    <w:uiPriority w:val="99"/>
    <w:semiHidden/>
    <w:rsid w:val="006C63C0"/>
    <w:rPr>
      <w:sz w:val="20"/>
      <w:szCs w:val="20"/>
    </w:rPr>
  </w:style>
  <w:style w:type="paragraph" w:styleId="CommentSubject">
    <w:name w:val="annotation subject"/>
    <w:basedOn w:val="CommentText"/>
    <w:next w:val="CommentText"/>
    <w:link w:val="CommentSubjectChar"/>
    <w:uiPriority w:val="99"/>
    <w:semiHidden/>
    <w:unhideWhenUsed/>
    <w:rsid w:val="006C63C0"/>
    <w:rPr>
      <w:b/>
      <w:bCs/>
    </w:rPr>
  </w:style>
  <w:style w:type="character" w:customStyle="1" w:styleId="CommentSubjectChar">
    <w:name w:val="Comment Subject Char"/>
    <w:basedOn w:val="CommentTextChar"/>
    <w:link w:val="CommentSubject"/>
    <w:uiPriority w:val="99"/>
    <w:semiHidden/>
    <w:rsid w:val="006C63C0"/>
    <w:rPr>
      <w:b/>
      <w:bCs/>
      <w:sz w:val="20"/>
      <w:szCs w:val="20"/>
    </w:rPr>
  </w:style>
  <w:style w:type="paragraph" w:styleId="ListParagraph">
    <w:name w:val="List Paragraph"/>
    <w:basedOn w:val="Normal"/>
    <w:uiPriority w:val="34"/>
    <w:qFormat/>
    <w:rsid w:val="00AB3774"/>
    <w:pPr>
      <w:ind w:left="720"/>
      <w:contextualSpacing/>
    </w:pPr>
  </w:style>
  <w:style w:type="character" w:styleId="Hyperlink">
    <w:name w:val="Hyperlink"/>
    <w:basedOn w:val="DefaultParagraphFont"/>
    <w:uiPriority w:val="99"/>
    <w:unhideWhenUsed/>
    <w:rsid w:val="00AB3774"/>
    <w:rPr>
      <w:color w:val="0000FF" w:themeColor="hyperlink"/>
      <w:u w:val="single"/>
    </w:rPr>
  </w:style>
  <w:style w:type="paragraph" w:styleId="Header">
    <w:name w:val="header"/>
    <w:basedOn w:val="Normal"/>
    <w:link w:val="HeaderChar"/>
    <w:uiPriority w:val="99"/>
    <w:unhideWhenUsed/>
    <w:rsid w:val="002A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36"/>
  </w:style>
  <w:style w:type="paragraph" w:styleId="Footer">
    <w:name w:val="footer"/>
    <w:basedOn w:val="Normal"/>
    <w:link w:val="FooterChar"/>
    <w:uiPriority w:val="99"/>
    <w:unhideWhenUsed/>
    <w:rsid w:val="002A3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36"/>
  </w:style>
  <w:style w:type="table" w:styleId="TableGrid">
    <w:name w:val="Table Grid"/>
    <w:basedOn w:val="TableNormal"/>
    <w:uiPriority w:val="59"/>
    <w:rsid w:val="009C08A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D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666"/>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9D2666"/>
    <w:rPr>
      <w:i/>
      <w:iCs/>
      <w:color w:val="000000" w:themeColor="text1"/>
    </w:rPr>
  </w:style>
  <w:style w:type="character" w:customStyle="1" w:styleId="QuoteChar">
    <w:name w:val="Quote Char"/>
    <w:basedOn w:val="DefaultParagraphFont"/>
    <w:link w:val="Quote"/>
    <w:uiPriority w:val="29"/>
    <w:rsid w:val="009D2666"/>
    <w:rPr>
      <w:i/>
      <w:iCs/>
      <w:color w:val="000000" w:themeColor="text1"/>
    </w:rPr>
  </w:style>
  <w:style w:type="paragraph" w:styleId="IntenseQuote">
    <w:name w:val="Intense Quote"/>
    <w:basedOn w:val="Normal"/>
    <w:next w:val="Normal"/>
    <w:link w:val="IntenseQuoteChar"/>
    <w:uiPriority w:val="30"/>
    <w:qFormat/>
    <w:rsid w:val="009D26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666"/>
    <w:rPr>
      <w:b/>
      <w:bCs/>
      <w:i/>
      <w:iCs/>
      <w:color w:val="4F81BD" w:themeColor="accent1"/>
    </w:rPr>
  </w:style>
  <w:style w:type="paragraph" w:styleId="Subtitle">
    <w:name w:val="Subtitle"/>
    <w:basedOn w:val="Normal"/>
    <w:next w:val="Normal"/>
    <w:link w:val="SubtitleChar"/>
    <w:uiPriority w:val="11"/>
    <w:qFormat/>
    <w:rsid w:val="009D26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D2666"/>
    <w:rPr>
      <w:rFonts w:asciiTheme="majorHAnsi" w:eastAsiaTheme="majorEastAsia" w:hAnsiTheme="majorHAnsi" w:cstheme="majorBidi"/>
      <w:i/>
      <w:iCs/>
      <w:color w:val="4F81BD" w:themeColor="accent1"/>
      <w:spacing w:val="15"/>
      <w:szCs w:val="24"/>
    </w:rPr>
  </w:style>
  <w:style w:type="character" w:styleId="Strong">
    <w:name w:val="Strong"/>
    <w:basedOn w:val="DefaultParagraphFont"/>
    <w:uiPriority w:val="22"/>
    <w:qFormat/>
    <w:rsid w:val="009D2666"/>
    <w:rPr>
      <w:b/>
      <w:bCs/>
    </w:rPr>
  </w:style>
  <w:style w:type="character" w:customStyle="1" w:styleId="Heading1Char">
    <w:name w:val="Heading 1 Char"/>
    <w:basedOn w:val="DefaultParagraphFont"/>
    <w:link w:val="Heading1"/>
    <w:uiPriority w:val="9"/>
    <w:rsid w:val="0063516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3C14BB"/>
    <w:pPr>
      <w:spacing w:after="100"/>
    </w:pPr>
  </w:style>
  <w:style w:type="paragraph" w:styleId="Caption">
    <w:name w:val="caption"/>
    <w:basedOn w:val="Normal"/>
    <w:next w:val="Normal"/>
    <w:uiPriority w:val="35"/>
    <w:unhideWhenUsed/>
    <w:qFormat/>
    <w:rsid w:val="00071C2A"/>
    <w:pPr>
      <w:spacing w:line="240" w:lineRule="auto"/>
    </w:pPr>
    <w:rPr>
      <w:b/>
      <w:bCs/>
      <w:color w:val="4F81BD" w:themeColor="accent1"/>
      <w:sz w:val="18"/>
      <w:szCs w:val="18"/>
    </w:rPr>
  </w:style>
  <w:style w:type="paragraph" w:styleId="NormalWeb">
    <w:name w:val="Normal (Web)"/>
    <w:basedOn w:val="Normal"/>
    <w:uiPriority w:val="99"/>
    <w:semiHidden/>
    <w:unhideWhenUsed/>
    <w:rsid w:val="00C22E83"/>
    <w:pPr>
      <w:spacing w:after="150" w:line="240" w:lineRule="auto"/>
    </w:pPr>
    <w:rPr>
      <w:rFonts w:ascii="Times New Roman" w:eastAsia="Times New Roman" w:hAnsi="Times New Roman" w:cs="Times New Roman"/>
      <w:szCs w:val="24"/>
      <w:lang w:eastAsia="en-AU"/>
    </w:rPr>
  </w:style>
  <w:style w:type="character" w:customStyle="1" w:styleId="filesize1">
    <w:name w:val="filesize1"/>
    <w:basedOn w:val="DefaultParagraphFont"/>
    <w:rsid w:val="00C22E83"/>
    <w:rPr>
      <w:b w:val="0"/>
      <w:bCs w:val="0"/>
      <w:i w:val="0"/>
      <w:iCs w:val="0"/>
      <w:caps/>
      <w:color w:val="8888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51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BC"/>
    <w:rPr>
      <w:rFonts w:ascii="Tahoma" w:hAnsi="Tahoma" w:cs="Tahoma"/>
      <w:sz w:val="16"/>
      <w:szCs w:val="16"/>
    </w:rPr>
  </w:style>
  <w:style w:type="character" w:styleId="CommentReference">
    <w:name w:val="annotation reference"/>
    <w:basedOn w:val="DefaultParagraphFont"/>
    <w:uiPriority w:val="99"/>
    <w:semiHidden/>
    <w:unhideWhenUsed/>
    <w:rsid w:val="006C63C0"/>
    <w:rPr>
      <w:sz w:val="16"/>
      <w:szCs w:val="16"/>
    </w:rPr>
  </w:style>
  <w:style w:type="paragraph" w:styleId="CommentText">
    <w:name w:val="annotation text"/>
    <w:basedOn w:val="Normal"/>
    <w:link w:val="CommentTextChar"/>
    <w:uiPriority w:val="99"/>
    <w:semiHidden/>
    <w:unhideWhenUsed/>
    <w:rsid w:val="006C63C0"/>
    <w:pPr>
      <w:spacing w:line="240" w:lineRule="auto"/>
    </w:pPr>
    <w:rPr>
      <w:sz w:val="20"/>
      <w:szCs w:val="20"/>
    </w:rPr>
  </w:style>
  <w:style w:type="character" w:customStyle="1" w:styleId="CommentTextChar">
    <w:name w:val="Comment Text Char"/>
    <w:basedOn w:val="DefaultParagraphFont"/>
    <w:link w:val="CommentText"/>
    <w:uiPriority w:val="99"/>
    <w:semiHidden/>
    <w:rsid w:val="006C63C0"/>
    <w:rPr>
      <w:sz w:val="20"/>
      <w:szCs w:val="20"/>
    </w:rPr>
  </w:style>
  <w:style w:type="paragraph" w:styleId="CommentSubject">
    <w:name w:val="annotation subject"/>
    <w:basedOn w:val="CommentText"/>
    <w:next w:val="CommentText"/>
    <w:link w:val="CommentSubjectChar"/>
    <w:uiPriority w:val="99"/>
    <w:semiHidden/>
    <w:unhideWhenUsed/>
    <w:rsid w:val="006C63C0"/>
    <w:rPr>
      <w:b/>
      <w:bCs/>
    </w:rPr>
  </w:style>
  <w:style w:type="character" w:customStyle="1" w:styleId="CommentSubjectChar">
    <w:name w:val="Comment Subject Char"/>
    <w:basedOn w:val="CommentTextChar"/>
    <w:link w:val="CommentSubject"/>
    <w:uiPriority w:val="99"/>
    <w:semiHidden/>
    <w:rsid w:val="006C63C0"/>
    <w:rPr>
      <w:b/>
      <w:bCs/>
      <w:sz w:val="20"/>
      <w:szCs w:val="20"/>
    </w:rPr>
  </w:style>
  <w:style w:type="paragraph" w:styleId="ListParagraph">
    <w:name w:val="List Paragraph"/>
    <w:basedOn w:val="Normal"/>
    <w:uiPriority w:val="34"/>
    <w:qFormat/>
    <w:rsid w:val="00AB3774"/>
    <w:pPr>
      <w:ind w:left="720"/>
      <w:contextualSpacing/>
    </w:pPr>
  </w:style>
  <w:style w:type="character" w:styleId="Hyperlink">
    <w:name w:val="Hyperlink"/>
    <w:basedOn w:val="DefaultParagraphFont"/>
    <w:uiPriority w:val="99"/>
    <w:unhideWhenUsed/>
    <w:rsid w:val="00AB3774"/>
    <w:rPr>
      <w:color w:val="0000FF" w:themeColor="hyperlink"/>
      <w:u w:val="single"/>
    </w:rPr>
  </w:style>
  <w:style w:type="paragraph" w:styleId="Header">
    <w:name w:val="header"/>
    <w:basedOn w:val="Normal"/>
    <w:link w:val="HeaderChar"/>
    <w:uiPriority w:val="99"/>
    <w:unhideWhenUsed/>
    <w:rsid w:val="002A3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36"/>
  </w:style>
  <w:style w:type="paragraph" w:styleId="Footer">
    <w:name w:val="footer"/>
    <w:basedOn w:val="Normal"/>
    <w:link w:val="FooterChar"/>
    <w:uiPriority w:val="99"/>
    <w:unhideWhenUsed/>
    <w:rsid w:val="002A3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36"/>
  </w:style>
  <w:style w:type="table" w:styleId="TableGrid">
    <w:name w:val="Table Grid"/>
    <w:basedOn w:val="TableNormal"/>
    <w:uiPriority w:val="59"/>
    <w:rsid w:val="009C08A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D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2666"/>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9D2666"/>
    <w:rPr>
      <w:i/>
      <w:iCs/>
      <w:color w:val="000000" w:themeColor="text1"/>
    </w:rPr>
  </w:style>
  <w:style w:type="character" w:customStyle="1" w:styleId="QuoteChar">
    <w:name w:val="Quote Char"/>
    <w:basedOn w:val="DefaultParagraphFont"/>
    <w:link w:val="Quote"/>
    <w:uiPriority w:val="29"/>
    <w:rsid w:val="009D2666"/>
    <w:rPr>
      <w:i/>
      <w:iCs/>
      <w:color w:val="000000" w:themeColor="text1"/>
    </w:rPr>
  </w:style>
  <w:style w:type="paragraph" w:styleId="IntenseQuote">
    <w:name w:val="Intense Quote"/>
    <w:basedOn w:val="Normal"/>
    <w:next w:val="Normal"/>
    <w:link w:val="IntenseQuoteChar"/>
    <w:uiPriority w:val="30"/>
    <w:qFormat/>
    <w:rsid w:val="009D266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2666"/>
    <w:rPr>
      <w:b/>
      <w:bCs/>
      <w:i/>
      <w:iCs/>
      <w:color w:val="4F81BD" w:themeColor="accent1"/>
    </w:rPr>
  </w:style>
  <w:style w:type="paragraph" w:styleId="Subtitle">
    <w:name w:val="Subtitle"/>
    <w:basedOn w:val="Normal"/>
    <w:next w:val="Normal"/>
    <w:link w:val="SubtitleChar"/>
    <w:uiPriority w:val="11"/>
    <w:qFormat/>
    <w:rsid w:val="009D26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D2666"/>
    <w:rPr>
      <w:rFonts w:asciiTheme="majorHAnsi" w:eastAsiaTheme="majorEastAsia" w:hAnsiTheme="majorHAnsi" w:cstheme="majorBidi"/>
      <w:i/>
      <w:iCs/>
      <w:color w:val="4F81BD" w:themeColor="accent1"/>
      <w:spacing w:val="15"/>
      <w:szCs w:val="24"/>
    </w:rPr>
  </w:style>
  <w:style w:type="character" w:styleId="Strong">
    <w:name w:val="Strong"/>
    <w:basedOn w:val="DefaultParagraphFont"/>
    <w:uiPriority w:val="22"/>
    <w:qFormat/>
    <w:rsid w:val="009D2666"/>
    <w:rPr>
      <w:b/>
      <w:bCs/>
    </w:rPr>
  </w:style>
  <w:style w:type="character" w:customStyle="1" w:styleId="Heading1Char">
    <w:name w:val="Heading 1 Char"/>
    <w:basedOn w:val="DefaultParagraphFont"/>
    <w:link w:val="Heading1"/>
    <w:uiPriority w:val="9"/>
    <w:rsid w:val="0063516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3C14BB"/>
    <w:pPr>
      <w:spacing w:after="100"/>
    </w:pPr>
  </w:style>
  <w:style w:type="paragraph" w:styleId="Caption">
    <w:name w:val="caption"/>
    <w:basedOn w:val="Normal"/>
    <w:next w:val="Normal"/>
    <w:uiPriority w:val="35"/>
    <w:unhideWhenUsed/>
    <w:qFormat/>
    <w:rsid w:val="00071C2A"/>
    <w:pPr>
      <w:spacing w:line="240" w:lineRule="auto"/>
    </w:pPr>
    <w:rPr>
      <w:b/>
      <w:bCs/>
      <w:color w:val="4F81BD" w:themeColor="accent1"/>
      <w:sz w:val="18"/>
      <w:szCs w:val="18"/>
    </w:rPr>
  </w:style>
  <w:style w:type="paragraph" w:styleId="NormalWeb">
    <w:name w:val="Normal (Web)"/>
    <w:basedOn w:val="Normal"/>
    <w:uiPriority w:val="99"/>
    <w:semiHidden/>
    <w:unhideWhenUsed/>
    <w:rsid w:val="00C22E83"/>
    <w:pPr>
      <w:spacing w:after="150" w:line="240" w:lineRule="auto"/>
    </w:pPr>
    <w:rPr>
      <w:rFonts w:ascii="Times New Roman" w:eastAsia="Times New Roman" w:hAnsi="Times New Roman" w:cs="Times New Roman"/>
      <w:szCs w:val="24"/>
      <w:lang w:eastAsia="en-AU"/>
    </w:rPr>
  </w:style>
  <w:style w:type="character" w:customStyle="1" w:styleId="filesize1">
    <w:name w:val="filesize1"/>
    <w:basedOn w:val="DefaultParagraphFont"/>
    <w:rsid w:val="00C22E83"/>
    <w:rPr>
      <w:b w:val="0"/>
      <w:bCs w:val="0"/>
      <w:i w:val="0"/>
      <w:iCs w:val="0"/>
      <w:caps/>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590">
      <w:bodyDiv w:val="1"/>
      <w:marLeft w:val="0"/>
      <w:marRight w:val="0"/>
      <w:marTop w:val="0"/>
      <w:marBottom w:val="0"/>
      <w:divBdr>
        <w:top w:val="none" w:sz="0" w:space="0" w:color="auto"/>
        <w:left w:val="none" w:sz="0" w:space="0" w:color="auto"/>
        <w:bottom w:val="none" w:sz="0" w:space="0" w:color="auto"/>
        <w:right w:val="none" w:sz="0" w:space="0" w:color="auto"/>
      </w:divBdr>
    </w:div>
    <w:div w:id="255020230">
      <w:bodyDiv w:val="1"/>
      <w:marLeft w:val="0"/>
      <w:marRight w:val="0"/>
      <w:marTop w:val="0"/>
      <w:marBottom w:val="0"/>
      <w:divBdr>
        <w:top w:val="none" w:sz="0" w:space="0" w:color="auto"/>
        <w:left w:val="none" w:sz="0" w:space="0" w:color="auto"/>
        <w:bottom w:val="none" w:sz="0" w:space="0" w:color="auto"/>
        <w:right w:val="none" w:sz="0" w:space="0" w:color="auto"/>
      </w:divBdr>
      <w:divsChild>
        <w:div w:id="1407916651">
          <w:marLeft w:val="0"/>
          <w:marRight w:val="0"/>
          <w:marTop w:val="0"/>
          <w:marBottom w:val="0"/>
          <w:divBdr>
            <w:top w:val="none" w:sz="0" w:space="0" w:color="auto"/>
            <w:left w:val="none" w:sz="0" w:space="0" w:color="auto"/>
            <w:bottom w:val="none" w:sz="0" w:space="0" w:color="auto"/>
            <w:right w:val="none" w:sz="0" w:space="0" w:color="auto"/>
          </w:divBdr>
          <w:divsChild>
            <w:div w:id="347373159">
              <w:marLeft w:val="0"/>
              <w:marRight w:val="0"/>
              <w:marTop w:val="75"/>
              <w:marBottom w:val="0"/>
              <w:divBdr>
                <w:top w:val="none" w:sz="0" w:space="0" w:color="auto"/>
                <w:left w:val="none" w:sz="0" w:space="0" w:color="auto"/>
                <w:bottom w:val="none" w:sz="0" w:space="0" w:color="auto"/>
                <w:right w:val="none" w:sz="0" w:space="0" w:color="auto"/>
              </w:divBdr>
              <w:divsChild>
                <w:div w:id="732312904">
                  <w:marLeft w:val="0"/>
                  <w:marRight w:val="0"/>
                  <w:marTop w:val="0"/>
                  <w:marBottom w:val="0"/>
                  <w:divBdr>
                    <w:top w:val="none" w:sz="0" w:space="0" w:color="auto"/>
                    <w:left w:val="none" w:sz="0" w:space="0" w:color="auto"/>
                    <w:bottom w:val="none" w:sz="0" w:space="0" w:color="auto"/>
                    <w:right w:val="none" w:sz="0" w:space="0" w:color="auto"/>
                  </w:divBdr>
                  <w:divsChild>
                    <w:div w:id="1531063787">
                      <w:marLeft w:val="270"/>
                      <w:marRight w:val="0"/>
                      <w:marTop w:val="0"/>
                      <w:marBottom w:val="0"/>
                      <w:divBdr>
                        <w:top w:val="none" w:sz="0" w:space="0" w:color="auto"/>
                        <w:left w:val="none" w:sz="0" w:space="0" w:color="auto"/>
                        <w:bottom w:val="none" w:sz="0" w:space="0" w:color="auto"/>
                        <w:right w:val="none" w:sz="0" w:space="0" w:color="auto"/>
                      </w:divBdr>
                      <w:divsChild>
                        <w:div w:id="1564633555">
                          <w:marLeft w:val="0"/>
                          <w:marRight w:val="0"/>
                          <w:marTop w:val="0"/>
                          <w:marBottom w:val="0"/>
                          <w:divBdr>
                            <w:top w:val="none" w:sz="0" w:space="0" w:color="auto"/>
                            <w:left w:val="none" w:sz="0" w:space="0" w:color="auto"/>
                            <w:bottom w:val="none" w:sz="0" w:space="0" w:color="auto"/>
                            <w:right w:val="none" w:sz="0" w:space="0" w:color="auto"/>
                          </w:divBdr>
                          <w:divsChild>
                            <w:div w:id="1469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681858">
      <w:bodyDiv w:val="1"/>
      <w:marLeft w:val="0"/>
      <w:marRight w:val="0"/>
      <w:marTop w:val="0"/>
      <w:marBottom w:val="0"/>
      <w:divBdr>
        <w:top w:val="none" w:sz="0" w:space="0" w:color="auto"/>
        <w:left w:val="none" w:sz="0" w:space="0" w:color="auto"/>
        <w:bottom w:val="none" w:sz="0" w:space="0" w:color="auto"/>
        <w:right w:val="none" w:sz="0" w:space="0" w:color="auto"/>
      </w:divBdr>
    </w:div>
    <w:div w:id="16127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alhaven.nsw.gov.au/Planningamp;Building/Strategicplanning/Papersubdivis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op.lpi.nsw.gov.au/wps/portal/lpma/lpi-shop/land-valu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aluergeneral.nsw.gov.au/council_rat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E193-9573-4918-BD58-B1AD7E32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Shoalhaven City Council</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Gokgur, Pamela</dc:creator>
  <cp:lastModifiedBy>rippon</cp:lastModifiedBy>
  <cp:revision>3</cp:revision>
  <cp:lastPrinted>2015-01-11T21:49:00Z</cp:lastPrinted>
  <dcterms:created xsi:type="dcterms:W3CDTF">2015-01-15T00:41:00Z</dcterms:created>
  <dcterms:modified xsi:type="dcterms:W3CDTF">2015-01-15T01:13:00Z</dcterms:modified>
</cp:coreProperties>
</file>