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C0" w:rsidRDefault="00F619C0" w:rsidP="00F619C0">
      <w:pPr>
        <w:pStyle w:val="Default"/>
        <w:tabs>
          <w:tab w:val="left" w:pos="1035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Helvetica" w:hAnsi="Helvetica" w:cs="Helvetica"/>
          <w:noProof/>
          <w:color w:val="1982D1"/>
          <w:sz w:val="23"/>
          <w:szCs w:val="23"/>
          <w:lang w:eastAsia="en-AU"/>
        </w:rPr>
        <w:drawing>
          <wp:inline distT="0" distB="0" distL="0" distR="0">
            <wp:extent cx="5731510" cy="1649730"/>
            <wp:effectExtent l="0" t="0" r="2540" b="7620"/>
            <wp:docPr id="1" name="Picture 1" descr="Rainbow Region Community Gard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bow Region Community Gard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C0" w:rsidRDefault="00F619C0" w:rsidP="00F619C0">
      <w:pPr>
        <w:pStyle w:val="Default"/>
        <w:jc w:val="center"/>
        <w:rPr>
          <w:rFonts w:ascii="Verdana" w:hAnsi="Verdana"/>
          <w:b/>
        </w:rPr>
      </w:pPr>
    </w:p>
    <w:p w:rsidR="00F619C0" w:rsidRDefault="00F619C0" w:rsidP="00F619C0">
      <w:pPr>
        <w:pStyle w:val="Default"/>
        <w:jc w:val="center"/>
        <w:rPr>
          <w:rFonts w:ascii="Verdana" w:hAnsi="Verdana"/>
          <w:b/>
        </w:rPr>
      </w:pPr>
    </w:p>
    <w:p w:rsidR="00F619C0" w:rsidRDefault="00F619C0" w:rsidP="00F619C0">
      <w:pPr>
        <w:pStyle w:val="Default"/>
        <w:jc w:val="center"/>
        <w:rPr>
          <w:rFonts w:ascii="Verdana" w:hAnsi="Verdana"/>
          <w:b/>
        </w:rPr>
      </w:pPr>
    </w:p>
    <w:p w:rsidR="00F619C0" w:rsidRDefault="00F619C0" w:rsidP="00F619C0">
      <w:pPr>
        <w:pStyle w:val="Default"/>
        <w:jc w:val="center"/>
        <w:rPr>
          <w:rFonts w:ascii="Verdana" w:hAnsi="Verdana"/>
          <w:b/>
        </w:rPr>
      </w:pPr>
    </w:p>
    <w:p w:rsidR="00F619C0" w:rsidRDefault="00F619C0" w:rsidP="00F619C0">
      <w:pPr>
        <w:pStyle w:val="Default"/>
        <w:jc w:val="center"/>
        <w:rPr>
          <w:rFonts w:ascii="Verdana" w:hAnsi="Verdana"/>
          <w:b/>
        </w:rPr>
      </w:pPr>
    </w:p>
    <w:p w:rsidR="00F619C0" w:rsidRDefault="00F619C0" w:rsidP="00F619C0">
      <w:pPr>
        <w:pStyle w:val="Default"/>
        <w:jc w:val="center"/>
        <w:rPr>
          <w:rFonts w:ascii="Verdana" w:hAnsi="Verdana"/>
          <w:b/>
        </w:rPr>
      </w:pPr>
    </w:p>
    <w:p w:rsidR="00F619C0" w:rsidRPr="003A53DC" w:rsidRDefault="00F619C0" w:rsidP="00F619C0">
      <w:pPr>
        <w:pStyle w:val="Default"/>
        <w:jc w:val="center"/>
        <w:rPr>
          <w:rFonts w:ascii="Verdana" w:hAnsi="Verdana"/>
          <w:b/>
        </w:rPr>
      </w:pPr>
      <w:r w:rsidRPr="003A53DC">
        <w:rPr>
          <w:rFonts w:ascii="Verdana" w:hAnsi="Verdana"/>
          <w:b/>
        </w:rPr>
        <w:t xml:space="preserve">RAINBOW </w:t>
      </w:r>
      <w:r w:rsidR="007C35A7">
        <w:rPr>
          <w:rFonts w:ascii="Verdana" w:hAnsi="Verdana"/>
          <w:b/>
        </w:rPr>
        <w:t xml:space="preserve">REGION </w:t>
      </w:r>
      <w:r w:rsidRPr="003A53DC">
        <w:rPr>
          <w:rFonts w:ascii="Verdana" w:hAnsi="Verdana"/>
          <w:b/>
        </w:rPr>
        <w:t>COMMUNITY</w:t>
      </w:r>
      <w:r w:rsidR="007C35A7">
        <w:rPr>
          <w:rFonts w:ascii="Verdana" w:hAnsi="Verdana"/>
          <w:b/>
        </w:rPr>
        <w:t xml:space="preserve"> FARMS INC’s</w:t>
      </w:r>
      <w:r w:rsidRPr="003A53DC">
        <w:rPr>
          <w:rFonts w:ascii="Verdana" w:hAnsi="Verdana"/>
          <w:b/>
        </w:rPr>
        <w:t xml:space="preserve"> SUBMISSION TO THE INDEPENDENT PRICING AND REGULATORY TRIBUNAL</w:t>
      </w:r>
      <w:r>
        <w:rPr>
          <w:rFonts w:ascii="Verdana" w:hAnsi="Verdana"/>
          <w:b/>
        </w:rPr>
        <w:t xml:space="preserve"> RE </w:t>
      </w:r>
      <w:r w:rsidRPr="003A53DC">
        <w:rPr>
          <w:rFonts w:ascii="Verdana" w:hAnsi="Verdana"/>
          <w:b/>
        </w:rPr>
        <w:t>THE SPECIAL RATE VARIATION (SRV) FOR THE LISMORE CITY COUNCIL’S BIODIVERSITY MANAGEMENT STRATEGY (BMS)</w:t>
      </w:r>
    </w:p>
    <w:p w:rsidR="00F619C0" w:rsidRDefault="00F619C0" w:rsidP="00F619C0">
      <w:pPr>
        <w:pStyle w:val="NormalWeb"/>
        <w:shd w:val="clear" w:color="auto" w:fill="FFFFFF"/>
        <w:rPr>
          <w:rFonts w:ascii="Verdana" w:hAnsi="Verdana" w:cs="Helvetica"/>
          <w:lang w:val="en-US"/>
        </w:rPr>
      </w:pPr>
      <w:r w:rsidRPr="003A53DC">
        <w:rPr>
          <w:rStyle w:val="Strong"/>
          <w:rFonts w:ascii="Verdana" w:hAnsi="Verdana" w:cs="Helvetica"/>
          <w:color w:val="373737"/>
          <w:lang w:val="en-US"/>
        </w:rPr>
        <w:t>Rainbow Region Community Farms Inc (RRCF)</w:t>
      </w:r>
      <w:r w:rsidRPr="003A53DC">
        <w:rPr>
          <w:rFonts w:ascii="Verdana" w:hAnsi="Verdana" w:cs="Helvetica"/>
          <w:color w:val="373737"/>
          <w:lang w:val="en-US"/>
        </w:rPr>
        <w:t xml:space="preserve"> is a not-for-profit association, formed in 2006, and has the broad aim of promoting community gardens and related</w:t>
      </w:r>
      <w:r>
        <w:rPr>
          <w:rFonts w:ascii="Verdana" w:hAnsi="Verdana" w:cs="Helvetica"/>
          <w:color w:val="373737"/>
          <w:lang w:val="en-US"/>
        </w:rPr>
        <w:t xml:space="preserve"> sustainability</w:t>
      </w:r>
      <w:r w:rsidRPr="003A53DC">
        <w:rPr>
          <w:rFonts w:ascii="Verdana" w:hAnsi="Verdana" w:cs="Helvetica"/>
          <w:color w:val="373737"/>
          <w:lang w:val="en-US"/>
        </w:rPr>
        <w:t xml:space="preserve"> initiatives in and around Lismore in the Northern Rivers area of New South Wales, Australia.  At present our major activity is management and operation of the </w:t>
      </w:r>
      <w:hyperlink r:id="rId6" w:tooltip="Lismore Community Garden" w:history="1">
        <w:r w:rsidRPr="00CB2D6B">
          <w:rPr>
            <w:rStyle w:val="Hyperlink"/>
            <w:rFonts w:ascii="Verdana" w:hAnsi="Verdana" w:cs="Helvetica"/>
            <w:b/>
            <w:color w:val="auto"/>
            <w:lang w:val="en-US"/>
          </w:rPr>
          <w:t>Lismore Community Garden</w:t>
        </w:r>
      </w:hyperlink>
      <w:r w:rsidRPr="00CB2D6B">
        <w:rPr>
          <w:rFonts w:ascii="Verdana" w:hAnsi="Verdana" w:cs="Helvetica"/>
          <w:b/>
          <w:lang w:val="en-US"/>
        </w:rPr>
        <w:t>,</w:t>
      </w:r>
      <w:r w:rsidRPr="003A53DC">
        <w:rPr>
          <w:rFonts w:ascii="Verdana" w:hAnsi="Verdana" w:cs="Helvetica"/>
          <w:lang w:val="en-US"/>
        </w:rPr>
        <w:t xml:space="preserve"> under a Deed of </w:t>
      </w:r>
      <w:proofErr w:type="spellStart"/>
      <w:r w:rsidRPr="003A53DC">
        <w:rPr>
          <w:rFonts w:ascii="Verdana" w:hAnsi="Verdana" w:cs="Helvetica"/>
          <w:lang w:val="en-US"/>
        </w:rPr>
        <w:t>Licence</w:t>
      </w:r>
      <w:proofErr w:type="spellEnd"/>
      <w:r w:rsidRPr="003A53DC">
        <w:rPr>
          <w:rFonts w:ascii="Verdana" w:hAnsi="Verdana" w:cs="Helvetica"/>
          <w:lang w:val="en-US"/>
        </w:rPr>
        <w:t xml:space="preserve"> </w:t>
      </w:r>
      <w:r>
        <w:rPr>
          <w:rFonts w:ascii="Verdana" w:hAnsi="Verdana" w:cs="Helvetica"/>
          <w:lang w:val="en-US"/>
        </w:rPr>
        <w:t>from</w:t>
      </w:r>
      <w:r w:rsidRPr="003A53DC">
        <w:rPr>
          <w:rFonts w:ascii="Verdana" w:hAnsi="Verdana" w:cs="Helvetica"/>
          <w:lang w:val="en-US"/>
        </w:rPr>
        <w:t xml:space="preserve"> Lismore City Council.</w:t>
      </w:r>
    </w:p>
    <w:p w:rsidR="00F619C0" w:rsidRPr="003A53DC" w:rsidRDefault="00F619C0" w:rsidP="00F619C0">
      <w:pPr>
        <w:pStyle w:val="NormalWeb"/>
        <w:shd w:val="clear" w:color="auto" w:fill="FFFFFF"/>
        <w:rPr>
          <w:rFonts w:ascii="Verdana" w:hAnsi="Verdana" w:cs="Helvetica"/>
          <w:lang w:val="en-US"/>
        </w:rPr>
      </w:pPr>
      <w:r>
        <w:rPr>
          <w:rFonts w:ascii="Verdana" w:hAnsi="Verdana" w:cs="Helvetica"/>
          <w:lang w:val="en-US"/>
        </w:rPr>
        <w:t xml:space="preserve">           The beginning of Lismore Community Garden 2009</w:t>
      </w:r>
      <w:r>
        <w:rPr>
          <w:rFonts w:ascii="Arial" w:hAnsi="Arial" w:cs="Arial"/>
          <w:noProof/>
          <w:color w:val="7F8C8D"/>
        </w:rPr>
        <w:drawing>
          <wp:inline distT="0" distB="0" distL="0" distR="0">
            <wp:extent cx="5486400" cy="3196558"/>
            <wp:effectExtent l="0" t="0" r="0" b="4445"/>
            <wp:docPr id="2" name="Picture 2" descr="The Lismore Community Garden crew - day o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ismore Community Garden crew - day on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548" cy="319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C0" w:rsidRPr="003A53DC" w:rsidRDefault="00F619C0" w:rsidP="00F619C0">
      <w:pPr>
        <w:pStyle w:val="NormalWeb"/>
        <w:shd w:val="clear" w:color="auto" w:fill="FFFFFF"/>
        <w:rPr>
          <w:rFonts w:ascii="Verdana" w:hAnsi="Verdana" w:cs="Helvetica"/>
          <w:color w:val="373737"/>
          <w:lang w:val="en-US"/>
        </w:rPr>
      </w:pPr>
      <w:r w:rsidRPr="003A53DC">
        <w:rPr>
          <w:rFonts w:ascii="Verdana" w:hAnsi="Verdana" w:cs="Helvetica"/>
          <w:color w:val="373737"/>
          <w:lang w:val="en-US"/>
        </w:rPr>
        <w:lastRenderedPageBreak/>
        <w:t xml:space="preserve">The overall aims of RRCF are to contribute to the community of Lismore in a number of ways.  By encouraging people to get involved in gardening activities, especially those involving edible produce, RRCF can help improve family nutrition through healthy eating, </w:t>
      </w:r>
      <w:r w:rsidRPr="003A53DC">
        <w:rPr>
          <w:rFonts w:ascii="Verdana" w:hAnsi="Verdana" w:cs="Helvetica"/>
          <w:b/>
          <w:color w:val="373737"/>
          <w:lang w:val="en-US"/>
        </w:rPr>
        <w:t>facilitate environmental sustainability</w:t>
      </w:r>
      <w:r w:rsidRPr="003A53DC">
        <w:rPr>
          <w:rFonts w:ascii="Verdana" w:hAnsi="Verdana" w:cs="Helvetica"/>
          <w:color w:val="373737"/>
          <w:lang w:val="en-US"/>
        </w:rPr>
        <w:t>, promote local health and fitness, provide education about a variety of gardening related topics through training projects and workshops, and help create employment and work experience opportunities.</w:t>
      </w:r>
    </w:p>
    <w:p w:rsidR="00F619C0" w:rsidRPr="003A53DC" w:rsidRDefault="00F619C0" w:rsidP="00F619C0">
      <w:pPr>
        <w:pStyle w:val="Default"/>
        <w:rPr>
          <w:rFonts w:ascii="Verdana" w:hAnsi="Verdana"/>
        </w:rPr>
      </w:pPr>
      <w:r w:rsidRPr="003A53DC">
        <w:rPr>
          <w:rFonts w:ascii="Verdana" w:hAnsi="Verdana"/>
          <w:b/>
          <w:bCs/>
        </w:rPr>
        <w:t xml:space="preserve">Background </w:t>
      </w:r>
    </w:p>
    <w:p w:rsidR="00F619C0" w:rsidRPr="003A53DC" w:rsidRDefault="00F619C0" w:rsidP="00F619C0">
      <w:pPr>
        <w:pStyle w:val="Default"/>
        <w:rPr>
          <w:rFonts w:ascii="Verdana" w:hAnsi="Verdana"/>
        </w:rPr>
      </w:pPr>
      <w:r w:rsidRPr="003A53DC">
        <w:rPr>
          <w:rFonts w:ascii="Verdana" w:hAnsi="Verdana"/>
        </w:rPr>
        <w:t xml:space="preserve">On 5 May 2015, Council adopted the </w:t>
      </w:r>
      <w:r w:rsidRPr="003A53DC">
        <w:rPr>
          <w:rFonts w:ascii="Verdana" w:hAnsi="Verdana"/>
          <w:i/>
          <w:iCs/>
        </w:rPr>
        <w:t xml:space="preserve">Biodiversity Management Strategy for the Lismore Local Government Area 2015–2035 </w:t>
      </w:r>
      <w:r w:rsidRPr="003A53DC">
        <w:rPr>
          <w:rFonts w:ascii="Verdana" w:hAnsi="Verdana"/>
        </w:rPr>
        <w:t xml:space="preserve">(BMS). This strategy was developed in response to the community’s vision for Council to provide ‘environmental leadership’, as identified in the </w:t>
      </w:r>
      <w:r w:rsidRPr="003A53DC">
        <w:rPr>
          <w:rFonts w:ascii="Verdana" w:hAnsi="Verdana"/>
          <w:i/>
          <w:iCs/>
        </w:rPr>
        <w:t>Imagine Lismore 10 Year Plan</w:t>
      </w:r>
      <w:r w:rsidRPr="003A53DC">
        <w:rPr>
          <w:rFonts w:ascii="Verdana" w:hAnsi="Verdana"/>
        </w:rPr>
        <w:t xml:space="preserve">. </w:t>
      </w:r>
      <w:r>
        <w:rPr>
          <w:rFonts w:ascii="Verdana" w:hAnsi="Verdana"/>
        </w:rPr>
        <w:t>RRCF has been a supporter of the BMS since the beginning of the proposal.</w:t>
      </w:r>
    </w:p>
    <w:p w:rsidR="00F619C0" w:rsidRDefault="00F619C0" w:rsidP="00F619C0">
      <w:pPr>
        <w:pStyle w:val="Default"/>
        <w:rPr>
          <w:rFonts w:ascii="Verdana" w:hAnsi="Verdana" w:cs="Arial"/>
          <w:b/>
          <w:bCs/>
        </w:rPr>
      </w:pPr>
    </w:p>
    <w:p w:rsidR="00F619C0" w:rsidRPr="003A53DC" w:rsidRDefault="00F619C0" w:rsidP="00F619C0">
      <w:pPr>
        <w:pStyle w:val="Default"/>
        <w:rPr>
          <w:rFonts w:ascii="Verdana" w:hAnsi="Verdana" w:cs="Arial"/>
        </w:rPr>
      </w:pPr>
      <w:r w:rsidRPr="003A53DC">
        <w:rPr>
          <w:rFonts w:ascii="Verdana" w:hAnsi="Verdana" w:cs="Arial"/>
          <w:b/>
          <w:bCs/>
        </w:rPr>
        <w:t>Special Rate Variation to fund implementation of the Biodiversity Management Strategy</w:t>
      </w:r>
    </w:p>
    <w:p w:rsidR="00F619C0" w:rsidRPr="003A53DC" w:rsidRDefault="00F619C0" w:rsidP="00F619C0">
      <w:pPr>
        <w:pStyle w:val="Default"/>
        <w:rPr>
          <w:rFonts w:ascii="Verdana" w:hAnsi="Verdana"/>
        </w:rPr>
      </w:pPr>
      <w:r w:rsidRPr="003A53DC">
        <w:rPr>
          <w:rFonts w:ascii="Verdana" w:hAnsi="Verdana"/>
        </w:rPr>
        <w:t xml:space="preserve">Successful implementation of the BMS requires reliable, long-term funding. Council investigated a range of long-term funding sources and came to the conclusion that the only sustainable way was through a Special Rate Variation (SRV) to increase rates. Consequently, on 5 May 2015, Council resolved to apply to the NSW Independent Pricing and Regulatory Tribunal (IPART) for an SRV to fund implementation of the BMS. </w:t>
      </w:r>
    </w:p>
    <w:p w:rsidR="00F619C0" w:rsidRPr="003A53DC" w:rsidRDefault="00F619C0" w:rsidP="00F619C0">
      <w:pPr>
        <w:pStyle w:val="Default"/>
        <w:rPr>
          <w:rFonts w:ascii="Verdana" w:hAnsi="Verdana"/>
        </w:rPr>
      </w:pPr>
    </w:p>
    <w:p w:rsidR="00F619C0" w:rsidRDefault="00F619C0" w:rsidP="00F619C0">
      <w:pPr>
        <w:pStyle w:val="Default"/>
        <w:rPr>
          <w:rFonts w:ascii="Verdana" w:hAnsi="Verdana"/>
          <w:b/>
          <w:bCs/>
        </w:rPr>
      </w:pPr>
      <w:r w:rsidRPr="003A53DC">
        <w:rPr>
          <w:rFonts w:ascii="Verdana" w:hAnsi="Verdana"/>
          <w:b/>
          <w:bCs/>
        </w:rPr>
        <w:t xml:space="preserve">What are the impacts of the proposed rate increase? </w:t>
      </w:r>
    </w:p>
    <w:tbl>
      <w:tblPr>
        <w:tblStyle w:val="TableGrid"/>
        <w:tblW w:w="0" w:type="auto"/>
        <w:tblLook w:val="04A0"/>
      </w:tblPr>
      <w:tblGrid>
        <w:gridCol w:w="3154"/>
        <w:gridCol w:w="3044"/>
        <w:gridCol w:w="3044"/>
      </w:tblGrid>
      <w:tr w:rsidR="00F619C0" w:rsidRPr="003D520C" w:rsidTr="00CB4AD8">
        <w:tc>
          <w:tcPr>
            <w:tcW w:w="3662" w:type="dxa"/>
          </w:tcPr>
          <w:p w:rsidR="00F619C0" w:rsidRPr="003D520C" w:rsidRDefault="00F619C0" w:rsidP="00CB4AD8">
            <w:pPr>
              <w:rPr>
                <w:b/>
              </w:rPr>
            </w:pPr>
            <w:r w:rsidRPr="003D520C">
              <w:rPr>
                <w:b/>
              </w:rPr>
              <w:t>Rating Category Average</w:t>
            </w:r>
          </w:p>
        </w:tc>
        <w:tc>
          <w:tcPr>
            <w:tcW w:w="3663" w:type="dxa"/>
          </w:tcPr>
          <w:p w:rsidR="00F619C0" w:rsidRPr="003D520C" w:rsidRDefault="00F619C0" w:rsidP="00CB4AD8">
            <w:pPr>
              <w:rPr>
                <w:b/>
              </w:rPr>
            </w:pPr>
            <w:r w:rsidRPr="003D520C">
              <w:rPr>
                <w:b/>
              </w:rPr>
              <w:t>Average increase (per year)</w:t>
            </w:r>
          </w:p>
        </w:tc>
        <w:tc>
          <w:tcPr>
            <w:tcW w:w="3663" w:type="dxa"/>
          </w:tcPr>
          <w:p w:rsidR="00F619C0" w:rsidRPr="003D520C" w:rsidRDefault="00F619C0" w:rsidP="00CB4AD8">
            <w:pPr>
              <w:rPr>
                <w:b/>
              </w:rPr>
            </w:pPr>
            <w:r w:rsidRPr="003D520C">
              <w:rPr>
                <w:b/>
              </w:rPr>
              <w:t>Average increase per week</w:t>
            </w:r>
          </w:p>
        </w:tc>
      </w:tr>
      <w:tr w:rsidR="00F619C0" w:rsidRPr="003D520C" w:rsidTr="00CB4AD8">
        <w:tc>
          <w:tcPr>
            <w:tcW w:w="3662" w:type="dxa"/>
          </w:tcPr>
          <w:p w:rsidR="00F619C0" w:rsidRPr="003D520C" w:rsidRDefault="00F619C0" w:rsidP="00CB4AD8">
            <w:r w:rsidRPr="003D520C">
              <w:t>Farmland</w:t>
            </w:r>
          </w:p>
        </w:tc>
        <w:tc>
          <w:tcPr>
            <w:tcW w:w="3663" w:type="dxa"/>
          </w:tcPr>
          <w:p w:rsidR="00F619C0" w:rsidRPr="003D520C" w:rsidRDefault="00F619C0" w:rsidP="00CB4AD8">
            <w:pPr>
              <w:jc w:val="center"/>
            </w:pPr>
            <w:r w:rsidRPr="003D520C">
              <w:t>$48</w:t>
            </w:r>
          </w:p>
        </w:tc>
        <w:tc>
          <w:tcPr>
            <w:tcW w:w="3663" w:type="dxa"/>
          </w:tcPr>
          <w:p w:rsidR="00F619C0" w:rsidRPr="003D520C" w:rsidRDefault="00F619C0" w:rsidP="00CB4AD8">
            <w:pPr>
              <w:jc w:val="center"/>
            </w:pPr>
            <w:r w:rsidRPr="003D520C">
              <w:t>92c</w:t>
            </w:r>
          </w:p>
        </w:tc>
      </w:tr>
      <w:tr w:rsidR="00F619C0" w:rsidRPr="003D520C" w:rsidTr="00CB4AD8">
        <w:tc>
          <w:tcPr>
            <w:tcW w:w="3662" w:type="dxa"/>
          </w:tcPr>
          <w:p w:rsidR="00F619C0" w:rsidRPr="003D520C" w:rsidRDefault="00F619C0" w:rsidP="00CB4AD8">
            <w:r w:rsidRPr="003D520C">
              <w:t>Residential Rural</w:t>
            </w:r>
          </w:p>
        </w:tc>
        <w:tc>
          <w:tcPr>
            <w:tcW w:w="3663" w:type="dxa"/>
          </w:tcPr>
          <w:p w:rsidR="00F619C0" w:rsidRPr="003D520C" w:rsidRDefault="00F619C0" w:rsidP="00CB4AD8">
            <w:pPr>
              <w:jc w:val="center"/>
            </w:pPr>
            <w:r w:rsidRPr="003D520C">
              <w:t>$30</w:t>
            </w:r>
          </w:p>
        </w:tc>
        <w:tc>
          <w:tcPr>
            <w:tcW w:w="3663" w:type="dxa"/>
          </w:tcPr>
          <w:p w:rsidR="00F619C0" w:rsidRPr="003D520C" w:rsidRDefault="00F619C0" w:rsidP="00CB4AD8">
            <w:pPr>
              <w:jc w:val="center"/>
            </w:pPr>
            <w:r w:rsidRPr="003D520C">
              <w:t>57c</w:t>
            </w:r>
          </w:p>
        </w:tc>
      </w:tr>
      <w:tr w:rsidR="00F619C0" w:rsidRPr="003D520C" w:rsidTr="00CB4AD8">
        <w:tc>
          <w:tcPr>
            <w:tcW w:w="3662" w:type="dxa"/>
          </w:tcPr>
          <w:p w:rsidR="00F619C0" w:rsidRPr="003D520C" w:rsidRDefault="00F619C0" w:rsidP="00CB4AD8">
            <w:r w:rsidRPr="003D520C">
              <w:t>Residential Urban/village</w:t>
            </w:r>
          </w:p>
        </w:tc>
        <w:tc>
          <w:tcPr>
            <w:tcW w:w="3663" w:type="dxa"/>
          </w:tcPr>
          <w:p w:rsidR="00F619C0" w:rsidRPr="003D520C" w:rsidRDefault="00F619C0" w:rsidP="00CB4AD8">
            <w:pPr>
              <w:jc w:val="center"/>
            </w:pPr>
            <w:r w:rsidRPr="003D520C">
              <w:t>$24</w:t>
            </w:r>
          </w:p>
        </w:tc>
        <w:tc>
          <w:tcPr>
            <w:tcW w:w="3663" w:type="dxa"/>
          </w:tcPr>
          <w:p w:rsidR="00F619C0" w:rsidRPr="003D520C" w:rsidRDefault="00F619C0" w:rsidP="00CB4AD8">
            <w:pPr>
              <w:jc w:val="center"/>
            </w:pPr>
            <w:r w:rsidRPr="003D520C">
              <w:t>46c</w:t>
            </w:r>
          </w:p>
        </w:tc>
      </w:tr>
    </w:tbl>
    <w:p w:rsidR="00F619C0" w:rsidRPr="003D520C" w:rsidRDefault="00F619C0" w:rsidP="00F619C0">
      <w:pPr>
        <w:pStyle w:val="Default"/>
      </w:pPr>
    </w:p>
    <w:p w:rsidR="00F619C0" w:rsidRPr="003D520C" w:rsidRDefault="00F619C0" w:rsidP="00F619C0">
      <w:pPr>
        <w:rPr>
          <w:b/>
        </w:rPr>
      </w:pPr>
      <w:r w:rsidRPr="003D520C">
        <w:t>The average amount of annual rate pegging assumed at 2.5% will only marginally affect levy adding $1.20 annually to rural rates, 75c to rural residential rates and 60c to residential rates in the first year.</w:t>
      </w:r>
      <w:r>
        <w:t xml:space="preserve">  There will of course be an annual increment for rate pegging.  This financial year it is 1.8%</w:t>
      </w:r>
    </w:p>
    <w:p w:rsidR="00F619C0" w:rsidRPr="003D520C" w:rsidRDefault="00F619C0" w:rsidP="00F619C0">
      <w:r w:rsidRPr="003D520C">
        <w:t>The Hunter Research Foundation conducted an in depth survey of 209 affected ratepayers.  This was an independent stratified random survey</w:t>
      </w:r>
      <w:r>
        <w:t>.</w:t>
      </w:r>
      <w:r w:rsidRPr="003D520C">
        <w:t xml:space="preserve"> </w:t>
      </w:r>
    </w:p>
    <w:p w:rsidR="00F619C0" w:rsidRPr="003D520C" w:rsidRDefault="00F619C0" w:rsidP="00F619C0">
      <w:r w:rsidRPr="003D520C">
        <w:t>66% of the respondents agreed or strongly agreed that the rate increase was affordable.</w:t>
      </w:r>
    </w:p>
    <w:p w:rsidR="00F619C0" w:rsidRPr="003A53DC" w:rsidRDefault="00F619C0" w:rsidP="00F619C0">
      <w:pPr>
        <w:rPr>
          <w:szCs w:val="24"/>
        </w:rPr>
      </w:pPr>
      <w:r w:rsidRPr="003D520C">
        <w:t>61% agreed or strongly agreed it was a reasonable price to pay.</w:t>
      </w:r>
    </w:p>
    <w:p w:rsidR="00F619C0" w:rsidRDefault="00F619C0" w:rsidP="00F619C0">
      <w:pPr>
        <w:pStyle w:val="Default"/>
        <w:spacing w:before="240"/>
        <w:rPr>
          <w:rFonts w:ascii="Verdana" w:hAnsi="Verdana"/>
          <w:b/>
        </w:rPr>
      </w:pPr>
    </w:p>
    <w:p w:rsidR="00F619C0" w:rsidRDefault="00F619C0" w:rsidP="00F619C0">
      <w:pPr>
        <w:pStyle w:val="Default"/>
        <w:spacing w:before="240"/>
        <w:rPr>
          <w:rFonts w:ascii="Verdana" w:hAnsi="Verdana"/>
          <w:b/>
        </w:rPr>
      </w:pPr>
    </w:p>
    <w:p w:rsidR="00F619C0" w:rsidRPr="003D520C" w:rsidRDefault="00F619C0" w:rsidP="00F619C0">
      <w:pPr>
        <w:pStyle w:val="Default"/>
        <w:spacing w:before="240"/>
        <w:rPr>
          <w:rFonts w:ascii="Verdana" w:hAnsi="Verdana"/>
          <w:b/>
        </w:rPr>
      </w:pPr>
      <w:r w:rsidRPr="003D520C">
        <w:rPr>
          <w:rFonts w:ascii="Verdana" w:hAnsi="Verdana"/>
          <w:b/>
        </w:rPr>
        <w:t>What will the Community Get for the Levy?</w:t>
      </w:r>
    </w:p>
    <w:p w:rsidR="00F619C0" w:rsidRPr="003D520C" w:rsidRDefault="00F619C0" w:rsidP="00F619C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Cs w:val="24"/>
        </w:rPr>
      </w:pPr>
      <w:r w:rsidRPr="003D520C">
        <w:rPr>
          <w:rFonts w:cs="Calibri"/>
          <w:color w:val="000000"/>
          <w:szCs w:val="24"/>
        </w:rPr>
        <w:t xml:space="preserve">Besides benefiting biodiversity, the community will get: cleaner roadsides; confidence that Council is undertaking best environmental management practice in its activities; recognition for your work and community achievements; assistance to landholders and community groups to manage pests and weeds; opportunities to gain knowledge; assistance to manage bushland and riversides on rural land; more opportunities to get involved through community events, workshops and field days; well-managed urban bushland reserves; and more recreational opportunities in the urban setting, such as walking tracks. </w:t>
      </w:r>
      <w:r>
        <w:rPr>
          <w:rFonts w:cs="Calibri"/>
          <w:color w:val="000000"/>
          <w:szCs w:val="24"/>
        </w:rPr>
        <w:t xml:space="preserve"> These are all projects vigorously supported by Rainbow Region Community Farms.</w:t>
      </w:r>
    </w:p>
    <w:p w:rsidR="00F619C0" w:rsidRPr="003D520C" w:rsidRDefault="00F619C0" w:rsidP="00F619C0">
      <w:pPr>
        <w:spacing w:after="0"/>
        <w:rPr>
          <w:b/>
        </w:rPr>
      </w:pPr>
    </w:p>
    <w:p w:rsidR="00F619C0" w:rsidRPr="003D520C" w:rsidRDefault="00F619C0" w:rsidP="00F619C0">
      <w:r w:rsidRPr="003D520C">
        <w:rPr>
          <w:b/>
        </w:rPr>
        <w:t>Debunking the criticisms</w:t>
      </w:r>
    </w:p>
    <w:p w:rsidR="00F619C0" w:rsidRPr="003D520C" w:rsidRDefault="00F619C0" w:rsidP="00F619C0">
      <w:r w:rsidRPr="003D520C">
        <w:t>Historically there have been 2 major criticisms of environmental initiatives and the BMS in particular by rural landowners:</w:t>
      </w:r>
    </w:p>
    <w:p w:rsidR="00F619C0" w:rsidRPr="00026C44" w:rsidRDefault="00F619C0" w:rsidP="00F619C0">
      <w:pPr>
        <w:rPr>
          <w:b/>
          <w:i/>
        </w:rPr>
      </w:pPr>
      <w:r w:rsidRPr="003D520C">
        <w:t xml:space="preserve">1.  That the BMS will increase regulation.  </w:t>
      </w:r>
      <w:r w:rsidRPr="00026C44">
        <w:rPr>
          <w:b/>
          <w:i/>
        </w:rPr>
        <w:t xml:space="preserve">The reality is that the BMS does not contain any additional regulation.  </w:t>
      </w:r>
    </w:p>
    <w:p w:rsidR="00F619C0" w:rsidRPr="00026C44" w:rsidRDefault="00F619C0" w:rsidP="00F619C0">
      <w:pPr>
        <w:rPr>
          <w:b/>
        </w:rPr>
      </w:pPr>
      <w:r w:rsidRPr="00026C44">
        <w:rPr>
          <w:b/>
          <w:i/>
        </w:rPr>
        <w:t>In time it may be able to reduce existing regulation through acceptance of incentives and education.</w:t>
      </w:r>
    </w:p>
    <w:p w:rsidR="00F619C0" w:rsidRPr="003D520C" w:rsidRDefault="00F619C0" w:rsidP="00F619C0">
      <w:r w:rsidRPr="003D520C">
        <w:t>2.  That rural landowners will be asked to pay for the environmental aspirations of their city cousins.</w:t>
      </w:r>
    </w:p>
    <w:p w:rsidR="00F619C0" w:rsidRPr="00026C44" w:rsidRDefault="00F619C0" w:rsidP="00F619C0">
      <w:pPr>
        <w:rPr>
          <w:b/>
          <w:i/>
        </w:rPr>
      </w:pPr>
      <w:r w:rsidRPr="00026C44">
        <w:rPr>
          <w:b/>
          <w:i/>
        </w:rPr>
        <w:t xml:space="preserve">Under the BMS farmers will pay 20% of the revenue and get 71% of the expenditure.  That is $3.5 million over 10 years.  For the first time council will be able to offer rate reductions for environmental protection.  There may be opportunities for </w:t>
      </w:r>
      <w:proofErr w:type="spellStart"/>
      <w:r w:rsidRPr="00026C44">
        <w:rPr>
          <w:b/>
          <w:i/>
        </w:rPr>
        <w:t>landcare</w:t>
      </w:r>
      <w:proofErr w:type="spellEnd"/>
      <w:r w:rsidRPr="00026C44">
        <w:rPr>
          <w:b/>
          <w:i/>
        </w:rPr>
        <w:t xml:space="preserve"> and green </w:t>
      </w:r>
      <w:proofErr w:type="spellStart"/>
      <w:r w:rsidRPr="00026C44">
        <w:rPr>
          <w:b/>
          <w:i/>
        </w:rPr>
        <w:t>corp</w:t>
      </w:r>
      <w:proofErr w:type="spellEnd"/>
      <w:r w:rsidRPr="00026C44">
        <w:rPr>
          <w:b/>
          <w:i/>
        </w:rPr>
        <w:t xml:space="preserve"> to do restoration work on properties.  </w:t>
      </w:r>
    </w:p>
    <w:p w:rsidR="00F619C0" w:rsidRPr="003D520C" w:rsidRDefault="00F619C0" w:rsidP="00F619C0">
      <w:pPr>
        <w:rPr>
          <w:b/>
        </w:rPr>
      </w:pPr>
      <w:r w:rsidRPr="003D520C">
        <w:rPr>
          <w:b/>
        </w:rPr>
        <w:t>Leverage</w:t>
      </w:r>
    </w:p>
    <w:p w:rsidR="00F619C0" w:rsidRPr="003D520C" w:rsidRDefault="00F619C0" w:rsidP="00F619C0">
      <w:r w:rsidRPr="003D520C">
        <w:t xml:space="preserve">There are often major opportunities created for grants and partnerships when a council takes a major initiative like the </w:t>
      </w:r>
      <w:r>
        <w:t>BMS.  Already C</w:t>
      </w:r>
      <w:r w:rsidRPr="003D520C">
        <w:t>ouncil has received a grant of nearly $100,000 for an extension officer to work with farmers.</w:t>
      </w:r>
    </w:p>
    <w:p w:rsidR="00F619C0" w:rsidRDefault="00F619C0" w:rsidP="00F619C0">
      <w:r w:rsidRPr="003D520C">
        <w:t>With the Federal government’s emphasis on direct action on climate change there is potential for profitable ‘carbon banking’ schemes to be developed with farmers.</w:t>
      </w:r>
    </w:p>
    <w:p w:rsidR="00F619C0" w:rsidRDefault="00F619C0" w:rsidP="00F619C0">
      <w:pPr>
        <w:rPr>
          <w:b/>
        </w:rPr>
      </w:pPr>
      <w:bookmarkStart w:id="0" w:name="_GoBack"/>
      <w:bookmarkEnd w:id="0"/>
      <w:r w:rsidRPr="005F6318">
        <w:rPr>
          <w:b/>
        </w:rPr>
        <w:lastRenderedPageBreak/>
        <w:t>Relationship to RRCF and the Community Garden</w:t>
      </w:r>
    </w:p>
    <w:p w:rsidR="00F619C0" w:rsidRPr="005F6318" w:rsidRDefault="00F619C0" w:rsidP="00F619C0">
      <w:r>
        <w:t>Longer term it is hoped that the Garden may be able to be involved with urban biodiversity projects.  Volunteers involved in the garden have a wide range of skills and a strong commitment to biodiversity.</w:t>
      </w:r>
    </w:p>
    <w:p w:rsidR="00F619C0" w:rsidRDefault="00F619C0" w:rsidP="00F619C0">
      <w:r>
        <w:t>Yours sincerely,</w:t>
      </w:r>
    </w:p>
    <w:p w:rsidR="00F619C0" w:rsidRDefault="00F619C0" w:rsidP="00F619C0">
      <w:r>
        <w:t>Terry Lawrence</w:t>
      </w:r>
    </w:p>
    <w:p w:rsidR="00F619C0" w:rsidRDefault="00F619C0" w:rsidP="00F619C0">
      <w:r>
        <w:t>President Rainbow Region Community Farms Inc.</w:t>
      </w:r>
    </w:p>
    <w:p w:rsidR="000B023C" w:rsidRDefault="000B023C"/>
    <w:sectPr w:rsidR="000B023C" w:rsidSect="00F72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9C0"/>
    <w:rsid w:val="000B023C"/>
    <w:rsid w:val="00201BFD"/>
    <w:rsid w:val="00447A1C"/>
    <w:rsid w:val="007C35A7"/>
    <w:rsid w:val="00F619C0"/>
    <w:rsid w:val="00F72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C0"/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A1C"/>
    <w:pPr>
      <w:ind w:left="720"/>
      <w:contextualSpacing/>
    </w:pPr>
  </w:style>
  <w:style w:type="paragraph" w:customStyle="1" w:styleId="Default">
    <w:name w:val="Default"/>
    <w:rsid w:val="00F61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19C0"/>
    <w:rPr>
      <w:strike w:val="0"/>
      <w:dstrike w:val="0"/>
      <w:color w:val="1982D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619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19C0"/>
    <w:pPr>
      <w:spacing w:before="100" w:beforeAutospacing="1" w:after="39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F6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9C0"/>
    <w:rPr>
      <w:rFonts w:ascii="Verdana" w:hAnsi="Verdan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A1C"/>
    <w:pPr>
      <w:ind w:left="720"/>
      <w:contextualSpacing/>
    </w:pPr>
  </w:style>
  <w:style w:type="paragraph" w:customStyle="1" w:styleId="Default">
    <w:name w:val="Default"/>
    <w:rsid w:val="00F61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19C0"/>
    <w:rPr>
      <w:strike w:val="0"/>
      <w:dstrike w:val="0"/>
      <w:color w:val="1982D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619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19C0"/>
    <w:pPr>
      <w:spacing w:before="100" w:beforeAutospacing="1" w:after="39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F6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rcf.org.au/?page_id=7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hyperlink" Target="http://www.rrcf.org.a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Councillor</dc:creator>
  <cp:lastModifiedBy>Community Garden</cp:lastModifiedBy>
  <cp:revision>2</cp:revision>
  <dcterms:created xsi:type="dcterms:W3CDTF">2016-03-13T04:55:00Z</dcterms:created>
  <dcterms:modified xsi:type="dcterms:W3CDTF">2016-03-13T04:55:00Z</dcterms:modified>
</cp:coreProperties>
</file>